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B02DFC" w14:textId="77777777" w:rsidR="00203365" w:rsidRDefault="005E4003" w:rsidP="005E4003">
      <w:pPr>
        <w:spacing w:before="82"/>
        <w:ind w:left="1077" w:right="1260"/>
        <w:jc w:val="center"/>
        <w:rPr>
          <w:sz w:val="28"/>
        </w:rPr>
      </w:pPr>
      <w:r>
        <w:rPr>
          <w:sz w:val="28"/>
        </w:rPr>
        <w:t xml:space="preserve">Full title here </w:t>
      </w:r>
      <w:r w:rsidR="00911EBC">
        <w:rPr>
          <w:sz w:val="28"/>
        </w:rPr>
        <w:t>Sentence</w:t>
      </w:r>
      <w:r>
        <w:rPr>
          <w:sz w:val="28"/>
        </w:rPr>
        <w:t xml:space="preserve"> case</w:t>
      </w:r>
    </w:p>
    <w:p w14:paraId="25E1139C" w14:textId="77777777" w:rsidR="00203365" w:rsidRDefault="00203365">
      <w:pPr>
        <w:pStyle w:val="BodyText"/>
        <w:spacing w:before="6"/>
        <w:ind w:left="0"/>
        <w:rPr>
          <w:sz w:val="26"/>
        </w:rPr>
      </w:pPr>
    </w:p>
    <w:p w14:paraId="46BA1346" w14:textId="77777777" w:rsidR="00203365" w:rsidRPr="005E4003" w:rsidRDefault="005E4003" w:rsidP="00A16C68">
      <w:pPr>
        <w:spacing w:before="1"/>
        <w:ind w:left="1077" w:right="1258"/>
        <w:jc w:val="center"/>
        <w:rPr>
          <w:sz w:val="16"/>
        </w:rPr>
      </w:pPr>
      <w:r w:rsidRPr="005E4003">
        <w:rPr>
          <w:sz w:val="24"/>
        </w:rPr>
        <w:t>Student 1 Full Name</w:t>
      </w:r>
      <w:r w:rsidR="00DF4752" w:rsidRPr="005E4003">
        <w:rPr>
          <w:position w:val="9"/>
          <w:sz w:val="16"/>
        </w:rPr>
        <w:t>a</w:t>
      </w:r>
      <w:r w:rsidR="00DF4752" w:rsidRPr="005E4003">
        <w:rPr>
          <w:sz w:val="24"/>
        </w:rPr>
        <w:t xml:space="preserve">, </w:t>
      </w:r>
      <w:r>
        <w:rPr>
          <w:sz w:val="24"/>
        </w:rPr>
        <w:t>Student 2 Full Name</w:t>
      </w:r>
      <w:r w:rsidRPr="005E4003">
        <w:rPr>
          <w:position w:val="9"/>
          <w:sz w:val="16"/>
        </w:rPr>
        <w:t>a</w:t>
      </w:r>
      <w:r>
        <w:rPr>
          <w:sz w:val="24"/>
        </w:rPr>
        <w:t xml:space="preserve">, </w:t>
      </w:r>
      <w:r w:rsidR="00A16C68">
        <w:rPr>
          <w:sz w:val="24"/>
        </w:rPr>
        <w:t>and Co-</w:t>
      </w:r>
      <w:r>
        <w:rPr>
          <w:sz w:val="24"/>
        </w:rPr>
        <w:t>Author Full</w:t>
      </w:r>
      <w:r w:rsidR="00A16C68">
        <w:rPr>
          <w:sz w:val="24"/>
        </w:rPr>
        <w:t xml:space="preserve"> Name</w:t>
      </w:r>
      <w:r w:rsidRPr="005E4003">
        <w:rPr>
          <w:position w:val="9"/>
          <w:sz w:val="16"/>
        </w:rPr>
        <w:t>a</w:t>
      </w:r>
    </w:p>
    <w:p w14:paraId="6B8248D5" w14:textId="77777777" w:rsidR="00203365" w:rsidRPr="005E4003" w:rsidRDefault="00542FE1">
      <w:pPr>
        <w:pStyle w:val="BodyText"/>
        <w:spacing w:before="3"/>
        <w:ind w:left="0"/>
        <w:rPr>
          <w:sz w:val="22"/>
        </w:rPr>
      </w:pPr>
      <w:r>
        <w:rPr>
          <w:noProof/>
          <w:lang w:bidi="ar-SA"/>
        </w:rPr>
        <mc:AlternateContent>
          <mc:Choice Requires="wps">
            <w:drawing>
              <wp:anchor distT="0" distB="0" distL="0" distR="0" simplePos="0" relativeHeight="251658240" behindDoc="1" locked="0" layoutInCell="1" allowOverlap="1" wp14:anchorId="7F0130AA" wp14:editId="6BB4DD72">
                <wp:simplePos x="0" y="0"/>
                <wp:positionH relativeFrom="page">
                  <wp:posOffset>896620</wp:posOffset>
                </wp:positionH>
                <wp:positionV relativeFrom="paragraph">
                  <wp:posOffset>192405</wp:posOffset>
                </wp:positionV>
                <wp:extent cx="5981065" cy="0"/>
                <wp:effectExtent l="10795" t="12065" r="8890" b="698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BFA3F"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6pt,15.15pt" to="541.5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P6THQIAAEI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" strokeweight=".72pt">
                <w10:wrap type="topAndBottom" anchorx="page"/>
              </v:line>
            </w:pict>
          </mc:Fallback>
        </mc:AlternateContent>
      </w:r>
    </w:p>
    <w:p w14:paraId="0030FC82" w14:textId="77777777" w:rsidR="00203365" w:rsidRPr="005E4003" w:rsidRDefault="00203365">
      <w:pPr>
        <w:pStyle w:val="BodyText"/>
        <w:spacing w:before="6"/>
        <w:ind w:left="0"/>
        <w:rPr>
          <w:sz w:val="7"/>
        </w:rPr>
      </w:pPr>
    </w:p>
    <w:p w14:paraId="7253B4B5" w14:textId="77777777" w:rsidR="00203365" w:rsidRDefault="005E4003" w:rsidP="005E4003">
      <w:pPr>
        <w:pStyle w:val="BodyText"/>
        <w:spacing w:line="276" w:lineRule="auto"/>
        <w:ind w:left="140" w:right="315"/>
        <w:jc w:val="both"/>
      </w:pPr>
      <w:r>
        <w:t>T</w:t>
      </w:r>
      <w:r w:rsidRPr="005E4003">
        <w:t xml:space="preserve">he Summary consists of a single paragraph of fewer than 300 words. </w:t>
      </w:r>
      <w:r>
        <w:t xml:space="preserve">Format is simple font size 9 </w:t>
      </w:r>
      <w:proofErr w:type="spellStart"/>
      <w:r>
        <w:t>pt</w:t>
      </w:r>
      <w:proofErr w:type="spellEnd"/>
      <w:r>
        <w:t xml:space="preserve"> suing only Times New Roman. </w:t>
      </w:r>
      <w:r w:rsidRPr="005E4003">
        <w:t>It should clearly convey the conceptual advance and sign</w:t>
      </w:r>
      <w:bookmarkStart w:id="0" w:name="_GoBack"/>
      <w:bookmarkEnd w:id="0"/>
      <w:r w:rsidRPr="005E4003">
        <w:t>ificance of the work to a broad readership. In particular, the abstract should contain a brief background of the question, a description of the results without extensive experimental detail, and a summary of the significance of the findings. References should not be cited in the Summary.</w:t>
      </w:r>
    </w:p>
    <w:p w14:paraId="1048676A" w14:textId="77777777" w:rsidR="00203365" w:rsidRDefault="00203365">
      <w:pPr>
        <w:pStyle w:val="BodyText"/>
        <w:spacing w:before="5"/>
        <w:ind w:left="0"/>
        <w:rPr>
          <w:sz w:val="17"/>
        </w:rPr>
      </w:pPr>
    </w:p>
    <w:p w14:paraId="44B3FF56" w14:textId="77777777" w:rsidR="00203365" w:rsidRDefault="00DF4752" w:rsidP="005E4003">
      <w:pPr>
        <w:ind w:left="140"/>
        <w:jc w:val="both"/>
        <w:rPr>
          <w:sz w:val="18"/>
        </w:rPr>
      </w:pPr>
      <w:r>
        <w:rPr>
          <w:b/>
          <w:sz w:val="18"/>
        </w:rPr>
        <w:t xml:space="preserve">Keywords: </w:t>
      </w:r>
      <w:r w:rsidR="005E4003" w:rsidRPr="005E4003">
        <w:rPr>
          <w:sz w:val="18"/>
          <w:szCs w:val="18"/>
        </w:rPr>
        <w:t>Add</w:t>
      </w:r>
      <w:r w:rsidR="005911D6">
        <w:rPr>
          <w:sz w:val="18"/>
          <w:szCs w:val="18"/>
        </w:rPr>
        <w:t>,</w:t>
      </w:r>
      <w:r w:rsidR="005E4003" w:rsidRPr="005E4003">
        <w:rPr>
          <w:sz w:val="18"/>
          <w:szCs w:val="18"/>
        </w:rPr>
        <w:t xml:space="preserve"> any</w:t>
      </w:r>
      <w:r w:rsidR="005911D6">
        <w:rPr>
          <w:sz w:val="18"/>
          <w:szCs w:val="18"/>
        </w:rPr>
        <w:t>,</w:t>
      </w:r>
      <w:r w:rsidR="005E4003" w:rsidRPr="005E4003">
        <w:rPr>
          <w:sz w:val="18"/>
          <w:szCs w:val="18"/>
        </w:rPr>
        <w:t xml:space="preserve"> five</w:t>
      </w:r>
      <w:r w:rsidR="005911D6">
        <w:rPr>
          <w:sz w:val="18"/>
          <w:szCs w:val="18"/>
        </w:rPr>
        <w:t>,</w:t>
      </w:r>
      <w:r w:rsidR="005E4003" w:rsidRPr="005E4003">
        <w:rPr>
          <w:sz w:val="18"/>
          <w:szCs w:val="18"/>
        </w:rPr>
        <w:t xml:space="preserve"> related keywords</w:t>
      </w:r>
      <w:r w:rsidR="005911D6">
        <w:rPr>
          <w:sz w:val="18"/>
          <w:szCs w:val="18"/>
        </w:rPr>
        <w:t>,</w:t>
      </w:r>
      <w:r w:rsidR="005E4003" w:rsidRPr="005E4003">
        <w:rPr>
          <w:sz w:val="18"/>
          <w:szCs w:val="18"/>
        </w:rPr>
        <w:t xml:space="preserve"> separated by commas</w:t>
      </w:r>
      <w:r w:rsidR="005911D6">
        <w:rPr>
          <w:sz w:val="18"/>
          <w:szCs w:val="18"/>
        </w:rPr>
        <w:t>.</w:t>
      </w:r>
    </w:p>
    <w:p w14:paraId="48575810" w14:textId="77777777" w:rsidR="00203365" w:rsidRDefault="00542FE1">
      <w:pPr>
        <w:pStyle w:val="BodyText"/>
        <w:spacing w:before="1"/>
        <w:ind w:left="0"/>
        <w:rPr>
          <w:sz w:val="16"/>
        </w:rPr>
      </w:pPr>
      <w:r>
        <w:rPr>
          <w:noProof/>
          <w:lang w:bidi="ar-SA"/>
        </w:rPr>
        <mc:AlternateContent>
          <mc:Choice Requires="wps">
            <w:drawing>
              <wp:anchor distT="0" distB="0" distL="0" distR="0" simplePos="0" relativeHeight="251659264" behindDoc="1" locked="0" layoutInCell="1" allowOverlap="1" wp14:anchorId="14A049A4" wp14:editId="6435C95B">
                <wp:simplePos x="0" y="0"/>
                <wp:positionH relativeFrom="page">
                  <wp:posOffset>896620</wp:posOffset>
                </wp:positionH>
                <wp:positionV relativeFrom="paragraph">
                  <wp:posOffset>147955</wp:posOffset>
                </wp:positionV>
                <wp:extent cx="5981065" cy="0"/>
                <wp:effectExtent l="10795" t="8890" r="8890" b="10160"/>
                <wp:wrapTopAndBottom/>
                <wp:docPr id="1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106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1E6BDB" id="Line 2"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6pt,11.65pt" to="541.5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" strokeweight=".72pt">
                <w10:wrap type="topAndBottom" anchorx="page"/>
              </v:line>
            </w:pict>
          </mc:Fallback>
        </mc:AlternateContent>
      </w:r>
    </w:p>
    <w:p w14:paraId="59DA4523" w14:textId="77777777" w:rsidR="00203365" w:rsidRDefault="00203365">
      <w:pPr>
        <w:pStyle w:val="BodyText"/>
        <w:spacing w:before="6"/>
        <w:ind w:left="0"/>
        <w:rPr>
          <w:sz w:val="7"/>
        </w:rPr>
      </w:pPr>
    </w:p>
    <w:p w14:paraId="259B3C10" w14:textId="77777777" w:rsidR="00203365" w:rsidRDefault="00203365">
      <w:pPr>
        <w:rPr>
          <w:sz w:val="7"/>
        </w:rPr>
        <w:sectPr w:rsidR="00203365">
          <w:headerReference w:type="default" r:id="rId7"/>
          <w:type w:val="continuous"/>
          <w:pgSz w:w="12240" w:h="15840"/>
          <w:pgMar w:top="1340" w:right="1120" w:bottom="280" w:left="1300" w:header="720" w:footer="720" w:gutter="0"/>
          <w:cols w:space="720"/>
        </w:sectPr>
      </w:pPr>
    </w:p>
    <w:p w14:paraId="4F5BFE50" w14:textId="77777777" w:rsidR="005E4003" w:rsidRDefault="005E4003" w:rsidP="005E4003">
      <w:pPr>
        <w:pStyle w:val="Heading1"/>
      </w:pPr>
      <w:r>
        <w:t>Introduction</w:t>
      </w:r>
    </w:p>
    <w:p w14:paraId="17382E5D" w14:textId="77777777" w:rsidR="005E4003" w:rsidRDefault="005E4003">
      <w:pPr>
        <w:pStyle w:val="BodyText"/>
        <w:spacing w:before="1"/>
        <w:ind w:left="140" w:right="38" w:firstLine="360"/>
        <w:jc w:val="both"/>
      </w:pPr>
    </w:p>
    <w:p w14:paraId="61575D75" w14:textId="77777777" w:rsidR="005E4003" w:rsidRDefault="005E4003">
      <w:pPr>
        <w:pStyle w:val="BodyText"/>
        <w:spacing w:before="1"/>
        <w:ind w:left="140" w:right="38" w:firstLine="360"/>
        <w:jc w:val="both"/>
      </w:pPr>
      <w:r w:rsidRPr="005E4003">
        <w:t>The Introduction 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p>
    <w:p w14:paraId="6FA929C4" w14:textId="77777777" w:rsidR="005E4003" w:rsidRDefault="005E4003" w:rsidP="00C93076">
      <w:pPr>
        <w:pStyle w:val="BodyText"/>
        <w:spacing w:before="1"/>
        <w:ind w:left="140" w:right="38" w:firstLine="360"/>
        <w:jc w:val="both"/>
      </w:pPr>
      <w:r w:rsidRPr="005E4003">
        <w:t>The Introduction 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w:t>
      </w:r>
      <w:r w:rsidR="00DF4752">
        <w:t>.</w:t>
      </w:r>
      <w:r>
        <w:t xml:space="preserve"> </w:t>
      </w:r>
      <w:r w:rsidRPr="005E4003">
        <w:t>The Introduction 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w:t>
      </w:r>
      <w:r w:rsidR="00DF4752">
        <w:t xml:space="preserve">. </w:t>
      </w:r>
      <w:r w:rsidRPr="005E4003">
        <w:t>The Introduction 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w:t>
      </w:r>
      <w:r w:rsidR="00C93076">
        <w:t>. More likely, samples (Mueller and Austin, 1995), and samples is well</w:t>
      </w:r>
      <w:r w:rsidR="00C93076" w:rsidRPr="00C93076">
        <w:t xml:space="preserve"> </w:t>
      </w:r>
      <w:r w:rsidR="00C93076">
        <w:t>documented</w:t>
      </w:r>
      <w:r w:rsidR="00C93076" w:rsidRPr="00C93076">
        <w:t xml:space="preserve"> </w:t>
      </w:r>
      <w:r w:rsidR="00C93076">
        <w:t>(Moran</w:t>
      </w:r>
      <w:r w:rsidR="00C93076" w:rsidRPr="00C93076">
        <w:t xml:space="preserve"> et al</w:t>
      </w:r>
      <w:r w:rsidR="00C93076">
        <w:t>.,</w:t>
      </w:r>
      <w:r w:rsidR="00C93076" w:rsidRPr="00C93076">
        <w:t xml:space="preserve"> </w:t>
      </w:r>
      <w:r w:rsidR="00C93076">
        <w:t>2000;</w:t>
      </w:r>
      <w:r w:rsidR="00C93076" w:rsidRPr="00C93076">
        <w:t xml:space="preserve"> </w:t>
      </w:r>
      <w:r w:rsidR="00C93076">
        <w:t>Del</w:t>
      </w:r>
      <w:r w:rsidR="00C93076" w:rsidRPr="00C93076">
        <w:t xml:space="preserve"> </w:t>
      </w:r>
      <w:r w:rsidR="00C93076">
        <w:t>Vecchio</w:t>
      </w:r>
      <w:r w:rsidR="00C93076" w:rsidRPr="00C93076">
        <w:t xml:space="preserve"> </w:t>
      </w:r>
      <w:r w:rsidR="00C93076">
        <w:t>and</w:t>
      </w:r>
      <w:r w:rsidR="00C93076" w:rsidRPr="00C93076">
        <w:t xml:space="preserve"> </w:t>
      </w:r>
      <w:r w:rsidR="00C93076">
        <w:t xml:space="preserve">Blough, 2004; </w:t>
      </w:r>
      <w:proofErr w:type="spellStart"/>
      <w:r w:rsidR="00C93076">
        <w:t>Tzortziou</w:t>
      </w:r>
      <w:proofErr w:type="spellEnd"/>
      <w:r w:rsidR="00C93076">
        <w:t xml:space="preserve"> </w:t>
      </w:r>
      <w:r w:rsidR="00C93076" w:rsidRPr="00C93076">
        <w:t>et al</w:t>
      </w:r>
      <w:r w:rsidR="00C93076">
        <w:t xml:space="preserve">., 2007; </w:t>
      </w:r>
      <w:proofErr w:type="spellStart"/>
      <w:r w:rsidR="00C93076">
        <w:t>Wickland</w:t>
      </w:r>
      <w:proofErr w:type="spellEnd"/>
      <w:r w:rsidR="00C93076">
        <w:t xml:space="preserve"> </w:t>
      </w:r>
      <w:r w:rsidR="00C93076" w:rsidRPr="00C93076">
        <w:t>et al</w:t>
      </w:r>
      <w:r w:rsidR="00C93076">
        <w:t xml:space="preserve">., 2007; </w:t>
      </w:r>
      <w:proofErr w:type="spellStart"/>
      <w:r w:rsidR="00C93076">
        <w:t>Osburn</w:t>
      </w:r>
      <w:proofErr w:type="spellEnd"/>
      <w:r w:rsidR="00C93076" w:rsidRPr="00C93076">
        <w:t xml:space="preserve"> et</w:t>
      </w:r>
      <w:r w:rsidR="00C93076">
        <w:t xml:space="preserve"> </w:t>
      </w:r>
      <w:r w:rsidR="00C93076" w:rsidRPr="00C93076">
        <w:t>al</w:t>
      </w:r>
      <w:r w:rsidR="00C93076">
        <w:t>., 2009).</w:t>
      </w:r>
      <w:r>
        <w:t xml:space="preserve"> </w:t>
      </w:r>
    </w:p>
    <w:p w14:paraId="47B4435B" w14:textId="77777777" w:rsidR="00911EBC" w:rsidRDefault="005E4003" w:rsidP="00911EBC">
      <w:pPr>
        <w:pStyle w:val="BodyText"/>
        <w:spacing w:before="1"/>
        <w:ind w:left="140" w:right="38" w:firstLine="360"/>
        <w:jc w:val="both"/>
      </w:pPr>
      <w:r w:rsidRPr="005E4003">
        <w:t>The Introduction 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w:t>
      </w:r>
      <w:r w:rsidR="00DF4752">
        <w:t xml:space="preserve">. </w:t>
      </w:r>
      <w:r w:rsidRPr="005E4003">
        <w:t>The Introduction 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w:t>
      </w:r>
      <w:r w:rsidR="00DF4752">
        <w:t xml:space="preserve">. </w:t>
      </w:r>
      <w:r w:rsidR="00DF4752" w:rsidRPr="005E4003">
        <w:t>The Introduction should be succinct, with no subheadings, and should present the background information necessary to provide appropriate context for the results.</w:t>
      </w:r>
      <w:r w:rsidR="00DF4752">
        <w:t xml:space="preserve"> Format is simple font size 9 </w:t>
      </w:r>
      <w:proofErr w:type="spellStart"/>
      <w:r w:rsidR="00DF4752">
        <w:t>pt</w:t>
      </w:r>
      <w:proofErr w:type="spellEnd"/>
      <w:r w:rsidR="00DF4752">
        <w:t xml:space="preserve"> suing only Times New Roman. </w:t>
      </w:r>
      <w:r w:rsidR="00DF4752" w:rsidRPr="005E4003">
        <w:t>The Introduction should be succinct, with no subheadings, and should present the background information necessary to provide appropriate context for the results.</w:t>
      </w:r>
      <w:r w:rsidR="00DF4752">
        <w:t xml:space="preserve"> Format is simple font size 9 </w:t>
      </w:r>
      <w:proofErr w:type="spellStart"/>
      <w:r w:rsidR="00DF4752">
        <w:t>pt</w:t>
      </w:r>
      <w:proofErr w:type="spellEnd"/>
      <w:r w:rsidR="00DF4752">
        <w:t xml:space="preserve"> suing only Times New Roman. </w:t>
      </w:r>
      <w:r w:rsidR="00DF4752" w:rsidRPr="005E4003">
        <w:t>The Introduction should be succinct, with no subheadings, and should present the background information necessary to provide appropriate context for the results.</w:t>
      </w:r>
      <w:r w:rsidR="00DF4752">
        <w:t xml:space="preserve"> Format is simple font size 9</w:t>
      </w:r>
      <w:r w:rsidR="00911EBC">
        <w:t xml:space="preserve"> </w:t>
      </w:r>
      <w:proofErr w:type="spellStart"/>
      <w:r w:rsidR="00911EBC">
        <w:t>pt</w:t>
      </w:r>
      <w:proofErr w:type="spellEnd"/>
      <w:r w:rsidR="00911EBC">
        <w:t xml:space="preserve"> suing only Times New Roman </w:t>
      </w:r>
    </w:p>
    <w:p w14:paraId="6988DD56" w14:textId="77777777" w:rsidR="00DF4752" w:rsidRDefault="00DF4752" w:rsidP="00911EBC">
      <w:pPr>
        <w:pStyle w:val="BodyText"/>
        <w:spacing w:before="1"/>
        <w:ind w:left="140" w:right="280" w:firstLine="360"/>
        <w:jc w:val="both"/>
      </w:pPr>
      <w:r w:rsidRPr="005E4003">
        <w:t>The Introduction 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 xml:space="preserve">The Introduction should be succinct, with no subheadings, and should present the background </w:t>
      </w:r>
      <w:r w:rsidRPr="005E4003">
        <w:t>information necessary to provide appropriate context for the results.</w:t>
      </w:r>
      <w:r>
        <w:t xml:space="preserve"> Format is simple font size 9 </w:t>
      </w:r>
      <w:proofErr w:type="spellStart"/>
      <w:r>
        <w:t>pt</w:t>
      </w:r>
      <w:proofErr w:type="spellEnd"/>
      <w:r>
        <w:t xml:space="preserve"> suing only Times New Roman. </w:t>
      </w:r>
      <w:r w:rsidRPr="005E4003">
        <w:t>The Introduction 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The Introduction 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The Introduction 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The Introduction 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The Introduction 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w:t>
      </w:r>
    </w:p>
    <w:p w14:paraId="42A01FEE" w14:textId="77777777" w:rsidR="00C93076" w:rsidRDefault="00C93076" w:rsidP="00C93076">
      <w:pPr>
        <w:pStyle w:val="Heading1"/>
      </w:pPr>
      <w:r>
        <w:t>Introduction</w:t>
      </w:r>
    </w:p>
    <w:p w14:paraId="13F5D8B0" w14:textId="77777777" w:rsidR="00C93076" w:rsidRDefault="00C93076" w:rsidP="00C93076">
      <w:pPr>
        <w:pStyle w:val="BodyText"/>
        <w:spacing w:before="1"/>
        <w:ind w:left="140" w:right="313" w:firstLine="360"/>
        <w:jc w:val="both"/>
      </w:pPr>
      <w:r w:rsidRPr="00C93076">
        <w:t>References should include only articles that are published. Unpublished data, submitted manuscripts, abstracts, and personal communications should be cited within the text only. Personal communication should be documented by a letter of permission. Submitted articles should be cited as unpublished data, data not shown, or personal communication. Please use APA style for references.</w:t>
      </w:r>
    </w:p>
    <w:p w14:paraId="598688A4" w14:textId="77777777" w:rsidR="00203365" w:rsidRDefault="00DF4752" w:rsidP="00DF4752">
      <w:pPr>
        <w:pStyle w:val="BodyText"/>
        <w:spacing w:before="1"/>
        <w:ind w:left="140" w:right="313" w:firstLine="360"/>
        <w:jc w:val="both"/>
      </w:pPr>
      <w:r>
        <w:t xml:space="preserve">Times New Roman. </w:t>
      </w:r>
      <w:r w:rsidRPr="005E4003">
        <w:t>The Introduction 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The Introduction 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The Introduction 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The Introduction 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w:t>
      </w:r>
    </w:p>
    <w:p w14:paraId="1934D7F8" w14:textId="77777777" w:rsidR="00DF4752" w:rsidRDefault="00DF4752" w:rsidP="00DF4752">
      <w:pPr>
        <w:pStyle w:val="BodyText"/>
        <w:spacing w:before="1"/>
        <w:ind w:left="140" w:right="313" w:firstLine="360"/>
        <w:jc w:val="both"/>
        <w:sectPr w:rsidR="00DF4752" w:rsidSect="00DF4752">
          <w:type w:val="continuous"/>
          <w:pgSz w:w="12240" w:h="15840"/>
          <w:pgMar w:top="1340" w:right="1440" w:bottom="280" w:left="1300" w:header="720" w:footer="720" w:gutter="0"/>
          <w:cols w:num="2" w:space="720" w:equalWidth="0">
            <w:col w:w="4684" w:space="176"/>
            <w:col w:w="4960"/>
          </w:cols>
        </w:sectPr>
      </w:pPr>
    </w:p>
    <w:p w14:paraId="1B4DF726" w14:textId="77777777" w:rsidR="00203365" w:rsidRDefault="00DF4752">
      <w:pPr>
        <w:pStyle w:val="BodyText"/>
        <w:tabs>
          <w:tab w:val="left" w:pos="500"/>
        </w:tabs>
        <w:spacing w:before="93"/>
        <w:ind w:left="502" w:right="3152" w:hanging="363"/>
      </w:pPr>
      <w:r>
        <w:t>a.</w:t>
      </w:r>
      <w:r>
        <w:tab/>
        <w:t>Center for Urban Ecology and Sustainability, Suffolk University, Boston, MA,</w:t>
      </w:r>
      <w:r>
        <w:rPr>
          <w:spacing w:val="-26"/>
        </w:rPr>
        <w:t xml:space="preserve"> </w:t>
      </w:r>
      <w:r>
        <w:t>02108 Correspondence</w:t>
      </w:r>
      <w:hyperlink r:id="rId8">
        <w:r>
          <w:t>:</w:t>
        </w:r>
        <w:r>
          <w:rPr>
            <w:spacing w:val="-1"/>
          </w:rPr>
          <w:t xml:space="preserve"> </w:t>
        </w:r>
        <w:r>
          <w:t>amacfarland@su.suffolk.edu</w:t>
        </w:r>
      </w:hyperlink>
    </w:p>
    <w:p w14:paraId="190F2D2C" w14:textId="77777777" w:rsidR="00203365" w:rsidRDefault="00203365">
      <w:pPr>
        <w:sectPr w:rsidR="00203365">
          <w:type w:val="continuous"/>
          <w:pgSz w:w="12240" w:h="15840"/>
          <w:pgMar w:top="1340" w:right="1120" w:bottom="280" w:left="1300" w:header="720" w:footer="720" w:gutter="0"/>
          <w:cols w:space="720"/>
        </w:sectPr>
      </w:pPr>
    </w:p>
    <w:p w14:paraId="7644A595" w14:textId="77777777" w:rsidR="00DF4752" w:rsidRDefault="00DF4752" w:rsidP="00DF4752">
      <w:pPr>
        <w:pStyle w:val="Heading1"/>
      </w:pPr>
      <w:r>
        <w:lastRenderedPageBreak/>
        <w:t>Section 1</w:t>
      </w:r>
    </w:p>
    <w:p w14:paraId="42913299" w14:textId="77777777" w:rsidR="00DF4752" w:rsidRDefault="00DF4752" w:rsidP="00DF4752">
      <w:pPr>
        <w:pStyle w:val="BodyText"/>
        <w:spacing w:before="1"/>
        <w:ind w:left="140" w:right="38" w:firstLine="360"/>
        <w:jc w:val="both"/>
      </w:pPr>
      <w:r w:rsidRPr="005E4003">
        <w:t xml:space="preserve">The </w:t>
      </w:r>
      <w:r>
        <w:t xml:space="preserve">section 1 </w:t>
      </w:r>
      <w:r w:rsidRPr="005E4003">
        <w:t>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 xml:space="preserve">The </w:t>
      </w:r>
      <w:r>
        <w:t xml:space="preserve">section 1 </w:t>
      </w:r>
      <w:r w:rsidRPr="005E4003">
        <w:t>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 xml:space="preserve">The </w:t>
      </w:r>
      <w:r>
        <w:t xml:space="preserve">section 1 </w:t>
      </w:r>
      <w:r w:rsidRPr="005E4003">
        <w:t>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 xml:space="preserve">The </w:t>
      </w:r>
      <w:r>
        <w:t xml:space="preserve">section 1 </w:t>
      </w:r>
      <w:r w:rsidRPr="005E4003">
        <w:t>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p>
    <w:p w14:paraId="574EFFF5" w14:textId="77777777" w:rsidR="00DF4752" w:rsidRDefault="00DF4752" w:rsidP="00DF4752">
      <w:pPr>
        <w:pStyle w:val="BodyText"/>
        <w:spacing w:before="1"/>
        <w:ind w:left="140" w:right="38" w:firstLine="360"/>
        <w:jc w:val="both"/>
      </w:pPr>
      <w:r w:rsidRPr="005E4003">
        <w:t xml:space="preserve">The </w:t>
      </w:r>
      <w:r>
        <w:t xml:space="preserve">section 1 </w:t>
      </w:r>
      <w:r w:rsidRPr="005E4003">
        <w:t>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 xml:space="preserve">The </w:t>
      </w:r>
      <w:r>
        <w:t xml:space="preserve">section 1 </w:t>
      </w:r>
      <w:r w:rsidRPr="005E4003">
        <w:t>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 xml:space="preserve">The </w:t>
      </w:r>
      <w:r>
        <w:t xml:space="preserve">section 1 </w:t>
      </w:r>
      <w:r w:rsidRPr="005E4003">
        <w:t>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p>
    <w:p w14:paraId="0CBE34D2" w14:textId="77777777" w:rsidR="00DF4752" w:rsidRDefault="00DF4752" w:rsidP="00DF4752">
      <w:pPr>
        <w:pStyle w:val="Heading1"/>
      </w:pPr>
      <w:r>
        <w:t>Section 2</w:t>
      </w:r>
    </w:p>
    <w:p w14:paraId="77FD1575" w14:textId="77777777" w:rsidR="00DF4752" w:rsidRDefault="00DF4752" w:rsidP="00DF4752">
      <w:pPr>
        <w:pStyle w:val="BodyText"/>
        <w:spacing w:before="1"/>
        <w:ind w:left="140" w:right="38" w:firstLine="360"/>
        <w:jc w:val="both"/>
      </w:pPr>
      <w:r w:rsidRPr="005E4003">
        <w:t xml:space="preserve">The </w:t>
      </w:r>
      <w:r>
        <w:t xml:space="preserve">section 2 </w:t>
      </w:r>
      <w:r w:rsidRPr="005E4003">
        <w:t>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 xml:space="preserve">The </w:t>
      </w:r>
      <w:r>
        <w:t xml:space="preserve">section 2 </w:t>
      </w:r>
      <w:r w:rsidRPr="005E4003">
        <w:t>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 xml:space="preserve">The </w:t>
      </w:r>
      <w:r>
        <w:t xml:space="preserve">section 2 </w:t>
      </w:r>
      <w:r w:rsidRPr="005E4003">
        <w:t>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 xml:space="preserve">The </w:t>
      </w:r>
      <w:r>
        <w:t xml:space="preserve">section 2 </w:t>
      </w:r>
      <w:r w:rsidRPr="005E4003">
        <w:t>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p>
    <w:p w14:paraId="432D1A0C" w14:textId="77777777" w:rsidR="00DF4752" w:rsidRDefault="00DF4752" w:rsidP="00DF4752">
      <w:pPr>
        <w:pStyle w:val="BodyText"/>
        <w:spacing w:before="1"/>
        <w:ind w:left="140" w:right="38" w:firstLine="360"/>
        <w:jc w:val="both"/>
      </w:pPr>
      <w:r w:rsidRPr="005E4003">
        <w:t xml:space="preserve">The </w:t>
      </w:r>
      <w:r>
        <w:t xml:space="preserve">section 2 </w:t>
      </w:r>
      <w:r w:rsidRPr="005E4003">
        <w:t>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 xml:space="preserve">The </w:t>
      </w:r>
      <w:r>
        <w:t xml:space="preserve">section 2 </w:t>
      </w:r>
      <w:r w:rsidRPr="005E4003">
        <w:t>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Pr="005E4003">
        <w:t xml:space="preserve">The </w:t>
      </w:r>
      <w:r>
        <w:t xml:space="preserve">section 2 </w:t>
      </w:r>
      <w:r w:rsidRPr="005E4003">
        <w:t>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p>
    <w:p w14:paraId="344D119B" w14:textId="77777777" w:rsidR="00DF4752" w:rsidRDefault="00DF4752" w:rsidP="00DF4752">
      <w:pPr>
        <w:pStyle w:val="Heading1"/>
      </w:pPr>
      <w:r>
        <w:t>Experimental Procedures</w:t>
      </w:r>
    </w:p>
    <w:p w14:paraId="0BA93995" w14:textId="77777777" w:rsidR="00DF4752" w:rsidRDefault="00DF4752" w:rsidP="00A16C68">
      <w:pPr>
        <w:pStyle w:val="BodyText"/>
        <w:spacing w:before="1"/>
        <w:ind w:left="140" w:right="-14" w:firstLine="360"/>
        <w:jc w:val="both"/>
      </w:pPr>
      <w:r>
        <w:t xml:space="preserve">Use always Tome new roman 9 </w:t>
      </w:r>
      <w:proofErr w:type="spellStart"/>
      <w:r>
        <w:t>pt</w:t>
      </w:r>
      <w:proofErr w:type="spellEnd"/>
      <w:r>
        <w:t xml:space="preserve"> as a font size. </w:t>
      </w:r>
      <w:r w:rsidRPr="00DF4752">
        <w:t>The Experimental Procedures should, at minimum, include enough detail to allow the reader to understand the general experimental design and to be able to assess the data presented in the figures. This section should also include a description of any statistical methods employed in the study.</w:t>
      </w:r>
      <w:r w:rsidR="00911EBC">
        <w:t xml:space="preserve"> </w:t>
      </w:r>
      <w:r>
        <w:t>This</w:t>
      </w:r>
      <w:r w:rsidRPr="005E4003">
        <w:t xml:space="preserve"> </w:t>
      </w:r>
      <w:r>
        <w:t xml:space="preserve">section 2 </w:t>
      </w:r>
      <w:r w:rsidRPr="005E4003">
        <w:t xml:space="preserve">should be succinct, with no subheadings, and should present the </w:t>
      </w:r>
      <w:r w:rsidRPr="005E4003">
        <w:t>background information necessary to provide appropriate</w:t>
      </w:r>
      <w:r w:rsidR="00A16C68">
        <w:t xml:space="preserve"> </w:t>
      </w:r>
      <w:r w:rsidRPr="005E4003">
        <w:t>context for the results.</w:t>
      </w:r>
      <w:r>
        <w:t xml:space="preserve"> Format is simple font size 9 </w:t>
      </w:r>
      <w:proofErr w:type="spellStart"/>
      <w:r>
        <w:t>pt</w:t>
      </w:r>
      <w:proofErr w:type="spellEnd"/>
      <w:r>
        <w:t xml:space="preserve"> suing only Times New Roman. This</w:t>
      </w:r>
      <w:r w:rsidRPr="005E4003">
        <w:t xml:space="preserve"> </w:t>
      </w:r>
      <w:r w:rsidR="00D0120D">
        <w:t xml:space="preserve">section </w:t>
      </w:r>
      <w:r w:rsidRPr="005E4003">
        <w:t>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r w:rsidR="00D0120D">
        <w:t>This</w:t>
      </w:r>
      <w:r w:rsidRPr="005E4003">
        <w:t xml:space="preserve"> </w:t>
      </w:r>
      <w:r w:rsidR="00D0120D">
        <w:t>section</w:t>
      </w:r>
      <w:r>
        <w:t xml:space="preserve"> </w:t>
      </w:r>
      <w:r w:rsidRPr="005E4003">
        <w:t>should be succinct, with no subheadings, and should present the background information necessary to provide appropriate context for the results.</w:t>
      </w:r>
      <w:r>
        <w:t xml:space="preserve"> Format is simple font size 9 </w:t>
      </w:r>
      <w:proofErr w:type="spellStart"/>
      <w:r>
        <w:t>pt</w:t>
      </w:r>
      <w:proofErr w:type="spellEnd"/>
      <w:r>
        <w:t xml:space="preserve"> suing only Times New Roman. </w:t>
      </w:r>
    </w:p>
    <w:p w14:paraId="7612CD89" w14:textId="77777777" w:rsidR="00D0120D" w:rsidRDefault="00D0120D" w:rsidP="00D0120D">
      <w:pPr>
        <w:pStyle w:val="Heading1"/>
      </w:pPr>
      <w:r>
        <w:t>Figure Legend</w:t>
      </w:r>
    </w:p>
    <w:p w14:paraId="4A63FAC1" w14:textId="77777777" w:rsidR="00203365" w:rsidRDefault="00D0120D" w:rsidP="00A16C68">
      <w:pPr>
        <w:pStyle w:val="BodyText"/>
        <w:spacing w:before="1"/>
        <w:ind w:left="140" w:right="-14" w:firstLine="360"/>
        <w:jc w:val="both"/>
      </w:pPr>
      <w:r w:rsidRPr="00D0120D">
        <w:t>Legends should be incl</w:t>
      </w:r>
      <w:r w:rsidR="00911EBC">
        <w:t xml:space="preserve">uded in the submitted </w:t>
      </w:r>
      <w:proofErr w:type="gramStart"/>
      <w:r w:rsidR="00911EBC">
        <w:t xml:space="preserve">manuscript </w:t>
      </w:r>
      <w:r w:rsidRPr="00D0120D">
        <w:t xml:space="preserve"> under</w:t>
      </w:r>
      <w:proofErr w:type="gramEnd"/>
      <w:r w:rsidRPr="00D0120D">
        <w:t xml:space="preserve"> corresponding figure. Each figure legend should have a brief title (that is bolded) that describes the entire figure without citing specific panels, followed by a description of each panel</w:t>
      </w:r>
      <w:r>
        <w:t xml:space="preserve"> </w:t>
      </w:r>
      <w:r w:rsidR="00DF4752">
        <w:t>(Figure</w:t>
      </w:r>
      <w:r w:rsidR="00DF4752" w:rsidRPr="00911EBC">
        <w:t xml:space="preserve"> </w:t>
      </w:r>
      <w:r w:rsidR="00DF4752">
        <w:t>1).</w:t>
      </w:r>
    </w:p>
    <w:p w14:paraId="78978CDC" w14:textId="77777777" w:rsidR="00203365" w:rsidRDefault="00DF4752">
      <w:pPr>
        <w:pStyle w:val="BodyText"/>
        <w:spacing w:before="7"/>
        <w:ind w:left="0"/>
        <w:rPr>
          <w:sz w:val="14"/>
        </w:rPr>
      </w:pPr>
      <w:r>
        <w:rPr>
          <w:noProof/>
          <w:lang w:bidi="ar-SA"/>
        </w:rPr>
        <w:drawing>
          <wp:anchor distT="0" distB="0" distL="0" distR="0" simplePos="0" relativeHeight="251656192" behindDoc="1" locked="0" layoutInCell="1" allowOverlap="1" wp14:anchorId="7E7A8B69" wp14:editId="3E4335CD">
            <wp:simplePos x="0" y="0"/>
            <wp:positionH relativeFrom="page">
              <wp:posOffset>4000500</wp:posOffset>
            </wp:positionH>
            <wp:positionV relativeFrom="paragraph">
              <wp:posOffset>131623</wp:posOffset>
            </wp:positionV>
            <wp:extent cx="2885573" cy="2166175"/>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2885573" cy="2166175"/>
                    </a:xfrm>
                    <a:prstGeom prst="rect">
                      <a:avLst/>
                    </a:prstGeom>
                  </pic:spPr>
                </pic:pic>
              </a:graphicData>
            </a:graphic>
          </wp:anchor>
        </w:drawing>
      </w:r>
    </w:p>
    <w:p w14:paraId="6903D073" w14:textId="77777777" w:rsidR="00203365" w:rsidRDefault="00203365">
      <w:pPr>
        <w:pStyle w:val="BodyText"/>
        <w:spacing w:before="10"/>
        <w:ind w:left="0"/>
        <w:rPr>
          <w:sz w:val="15"/>
        </w:rPr>
      </w:pPr>
    </w:p>
    <w:p w14:paraId="5260C7C8" w14:textId="77777777" w:rsidR="00203365" w:rsidRDefault="00DF4752" w:rsidP="00D0120D">
      <w:pPr>
        <w:pStyle w:val="BodyText"/>
        <w:ind w:left="141" w:right="316"/>
        <w:jc w:val="both"/>
      </w:pPr>
      <w:r>
        <w:rPr>
          <w:b/>
        </w:rPr>
        <w:t xml:space="preserve">Figure 1. </w:t>
      </w:r>
      <w:r w:rsidR="00D0120D">
        <w:t>Full title of the figure.</w:t>
      </w:r>
    </w:p>
    <w:p w14:paraId="65DD3518" w14:textId="77777777" w:rsidR="00203365" w:rsidRDefault="00203365">
      <w:pPr>
        <w:pStyle w:val="BodyText"/>
        <w:spacing w:before="1"/>
        <w:ind w:left="0"/>
      </w:pPr>
    </w:p>
    <w:p w14:paraId="724ADA11" w14:textId="77777777" w:rsidR="00203365" w:rsidRDefault="00203365">
      <w:pPr>
        <w:pStyle w:val="BodyText"/>
        <w:spacing w:before="1"/>
        <w:ind w:left="0"/>
        <w:rPr>
          <w:sz w:val="7"/>
        </w:rPr>
      </w:pPr>
    </w:p>
    <w:p w14:paraId="3C9CC426" w14:textId="77777777" w:rsidR="00203365" w:rsidRDefault="00DF4752">
      <w:pPr>
        <w:pStyle w:val="BodyText"/>
        <w:ind w:left="140"/>
        <w:rPr>
          <w:sz w:val="20"/>
        </w:rPr>
      </w:pPr>
      <w:r>
        <w:rPr>
          <w:noProof/>
          <w:sz w:val="20"/>
          <w:lang w:bidi="ar-SA"/>
        </w:rPr>
        <w:drawing>
          <wp:inline distT="0" distB="0" distL="0" distR="0" wp14:anchorId="3373E0A6" wp14:editId="7F7E1EB6">
            <wp:extent cx="2886574" cy="1854993"/>
            <wp:effectExtent l="0" t="0" r="0" b="0"/>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2886574" cy="1854993"/>
                    </a:xfrm>
                    <a:prstGeom prst="rect">
                      <a:avLst/>
                    </a:prstGeom>
                  </pic:spPr>
                </pic:pic>
              </a:graphicData>
            </a:graphic>
          </wp:inline>
        </w:drawing>
      </w:r>
    </w:p>
    <w:p w14:paraId="651DB6F3" w14:textId="77777777" w:rsidR="00203365" w:rsidRDefault="00DF4752" w:rsidP="00D0120D">
      <w:pPr>
        <w:pStyle w:val="BodyText"/>
        <w:spacing w:before="38" w:line="278" w:lineRule="auto"/>
        <w:ind w:left="140"/>
      </w:pPr>
      <w:r>
        <w:rPr>
          <w:b/>
        </w:rPr>
        <w:t xml:space="preserve">Figure 2. </w:t>
      </w:r>
      <w:r w:rsidR="00D0120D">
        <w:t>Full title of the figure.</w:t>
      </w:r>
    </w:p>
    <w:p w14:paraId="40007D9E" w14:textId="77777777" w:rsidR="00203365" w:rsidRDefault="00203365">
      <w:pPr>
        <w:pStyle w:val="BodyText"/>
        <w:spacing w:before="1"/>
        <w:ind w:left="0"/>
      </w:pPr>
    </w:p>
    <w:p w14:paraId="6DDFDB1B" w14:textId="77777777" w:rsidR="00203365" w:rsidRDefault="00DF4752">
      <w:pPr>
        <w:pStyle w:val="Heading1"/>
      </w:pPr>
      <w:r>
        <w:t>Experimental Procedures</w:t>
      </w:r>
    </w:p>
    <w:p w14:paraId="3FE58A4D" w14:textId="77777777" w:rsidR="00203365" w:rsidRDefault="00DF4752">
      <w:pPr>
        <w:spacing w:line="206" w:lineRule="exact"/>
        <w:ind w:left="140"/>
        <w:rPr>
          <w:i/>
          <w:sz w:val="18"/>
        </w:rPr>
      </w:pPr>
      <w:r>
        <w:rPr>
          <w:i/>
          <w:sz w:val="18"/>
        </w:rPr>
        <w:t>Study site</w:t>
      </w:r>
    </w:p>
    <w:p w14:paraId="63F79099" w14:textId="77777777" w:rsidR="00D0120D" w:rsidRDefault="00D0120D" w:rsidP="00D0120D">
      <w:pPr>
        <w:pStyle w:val="BodyText"/>
        <w:ind w:left="140" w:right="85" w:firstLine="360"/>
        <w:jc w:val="both"/>
      </w:pPr>
      <w:r w:rsidRPr="00D0120D">
        <w:t>The Experimental Procedures should, at minimum, include enough detail to allow the reader to understand the general experimental design and to be able to assess the data presented in the figures. This section should also include a description of any statistical methods employed in the study.</w:t>
      </w:r>
      <w:r>
        <w:t xml:space="preserve"> </w:t>
      </w:r>
      <w:r w:rsidRPr="00D0120D">
        <w:t>The Experimental Procedures should, at minimum, include enough detail to allow the reader to understand the general experimental design and to be able to assess the data presented in the figures. This section should also include a description of any statistical methods employed in the study.</w:t>
      </w:r>
    </w:p>
    <w:p w14:paraId="2B733B9D" w14:textId="77777777" w:rsidR="00203365" w:rsidRDefault="00DF4752">
      <w:pPr>
        <w:spacing w:line="207" w:lineRule="exact"/>
        <w:ind w:left="140"/>
        <w:rPr>
          <w:i/>
          <w:sz w:val="18"/>
        </w:rPr>
      </w:pPr>
      <w:r>
        <w:rPr>
          <w:i/>
          <w:sz w:val="18"/>
        </w:rPr>
        <w:t>Sample collection</w:t>
      </w:r>
    </w:p>
    <w:p w14:paraId="7EC2BD70" w14:textId="77777777" w:rsidR="00D0120D" w:rsidRDefault="00D0120D" w:rsidP="00D0120D">
      <w:pPr>
        <w:pStyle w:val="BodyText"/>
        <w:ind w:left="140" w:right="85" w:firstLine="360"/>
        <w:jc w:val="both"/>
      </w:pPr>
      <w:r w:rsidRPr="00D0120D">
        <w:lastRenderedPageBreak/>
        <w:t>The Experimental Procedures should, at minimum, include enough detail to allow the reader to understand the general experimental design and to be able to assess the data presented in the figures. This section should also include a description of any statistical methods employed in the study.</w:t>
      </w:r>
    </w:p>
    <w:p w14:paraId="0FEA75DD" w14:textId="77777777" w:rsidR="00203365" w:rsidRDefault="00DF4752" w:rsidP="00D0120D">
      <w:pPr>
        <w:pStyle w:val="Heading1"/>
      </w:pPr>
      <w:r>
        <w:t>Results</w:t>
      </w:r>
    </w:p>
    <w:p w14:paraId="30B862A6" w14:textId="77777777" w:rsidR="00203365" w:rsidRDefault="00DF4752">
      <w:pPr>
        <w:spacing w:line="206" w:lineRule="exact"/>
        <w:ind w:left="140"/>
        <w:rPr>
          <w:i/>
          <w:sz w:val="18"/>
        </w:rPr>
      </w:pPr>
      <w:r>
        <w:rPr>
          <w:i/>
          <w:sz w:val="18"/>
        </w:rPr>
        <w:t>Correlation between instruments</w:t>
      </w:r>
    </w:p>
    <w:p w14:paraId="2CAD3919" w14:textId="77777777" w:rsidR="00D0120D" w:rsidRPr="00D0120D" w:rsidRDefault="00D0120D" w:rsidP="00D0120D">
      <w:pPr>
        <w:pStyle w:val="BodyText"/>
        <w:ind w:left="140" w:right="85" w:firstLine="360"/>
        <w:jc w:val="both"/>
      </w:pPr>
      <w:r>
        <w:t xml:space="preserve">Always Times new roman 9 </w:t>
      </w:r>
      <w:proofErr w:type="spellStart"/>
      <w:r>
        <w:t>pt</w:t>
      </w:r>
      <w:proofErr w:type="spellEnd"/>
      <w:r>
        <w:t xml:space="preserve"> as a font size. </w:t>
      </w:r>
      <w:r w:rsidRPr="00D0120D">
        <w:t>This section should be divided with subheadings. Footnotes should not be used and will be transferred to the text.</w:t>
      </w:r>
      <w:r>
        <w:t xml:space="preserve"> Always Times new roman 9 </w:t>
      </w:r>
      <w:proofErr w:type="spellStart"/>
      <w:r>
        <w:t>pt</w:t>
      </w:r>
      <w:proofErr w:type="spellEnd"/>
      <w:r>
        <w:t xml:space="preserve"> as a font size. </w:t>
      </w:r>
      <w:r w:rsidRPr="00D0120D">
        <w:t>This section should be divided with subheadings. Footnotes should not be used and will be transferred to the text.</w:t>
      </w:r>
      <w:r>
        <w:t xml:space="preserve"> Always Times new roman 9 </w:t>
      </w:r>
      <w:proofErr w:type="spellStart"/>
      <w:r>
        <w:t>pt</w:t>
      </w:r>
      <w:proofErr w:type="spellEnd"/>
      <w:r>
        <w:t xml:space="preserve"> as a font size. </w:t>
      </w:r>
      <w:r w:rsidRPr="00D0120D">
        <w:t>This section should be divided with subheadings. Footnotes should not be used and will be transferred to the text.</w:t>
      </w:r>
      <w:r>
        <w:t xml:space="preserve"> Always Times new roman 9 </w:t>
      </w:r>
      <w:proofErr w:type="spellStart"/>
      <w:r>
        <w:t>pt</w:t>
      </w:r>
      <w:proofErr w:type="spellEnd"/>
      <w:r>
        <w:t xml:space="preserve"> as a font size. </w:t>
      </w:r>
      <w:r w:rsidRPr="00D0120D">
        <w:t>This section should be divided with subheadings. Footnotes should not be used and will be transferred to the text.</w:t>
      </w:r>
    </w:p>
    <w:p w14:paraId="0C742FCE" w14:textId="77777777" w:rsidR="00203365" w:rsidRDefault="00D0120D" w:rsidP="00D0120D">
      <w:pPr>
        <w:pStyle w:val="BodyText"/>
        <w:ind w:left="140" w:right="85" w:firstLine="360"/>
        <w:jc w:val="both"/>
      </w:pPr>
      <w:r>
        <w:t xml:space="preserve">Always Times new roman 9 </w:t>
      </w:r>
      <w:proofErr w:type="spellStart"/>
      <w:r>
        <w:t>pt</w:t>
      </w:r>
      <w:proofErr w:type="spellEnd"/>
      <w:r>
        <w:t xml:space="preserve"> as a font size. </w:t>
      </w:r>
      <w:r w:rsidRPr="00D0120D">
        <w:t>This section should be divided with subheadings. Footnotes should not be used and will be transferred to the text.</w:t>
      </w:r>
      <w:r>
        <w:t xml:space="preserve"> Always Times new roman 9 </w:t>
      </w:r>
      <w:proofErr w:type="spellStart"/>
      <w:r>
        <w:t>pt</w:t>
      </w:r>
      <w:proofErr w:type="spellEnd"/>
      <w:r>
        <w:t xml:space="preserve"> as a font size. </w:t>
      </w:r>
      <w:r w:rsidRPr="00D0120D">
        <w:t>This section should be divided with subheadings. Footnotes should not be used and will be transferred to the text.</w:t>
      </w:r>
      <w:r>
        <w:t xml:space="preserve"> </w:t>
      </w:r>
      <w:r w:rsidRPr="00D0120D">
        <w:t>When creating a table, please use the Microsoft Word table function and do not place an Excel table in a Word document. Word tables should not be tab or space delineated and should not use color. Tables should include a title above it in bold, and footnotes and/or legend should be concise. Tables not created with the Microsoft Word table function will need to be revised by the author</w:t>
      </w:r>
      <w:r w:rsidR="00DF4752">
        <w:t xml:space="preserve"> (Table 1).</w:t>
      </w:r>
    </w:p>
    <w:p w14:paraId="605A9C65" w14:textId="77777777" w:rsidR="00203365" w:rsidRDefault="00203365">
      <w:pPr>
        <w:pStyle w:val="BodyText"/>
        <w:ind w:left="0"/>
      </w:pPr>
    </w:p>
    <w:p w14:paraId="0F2EAF21" w14:textId="77777777" w:rsidR="00203365" w:rsidRDefault="00DF4752" w:rsidP="00D0120D">
      <w:pPr>
        <w:pStyle w:val="BodyText"/>
        <w:ind w:left="141" w:right="186"/>
      </w:pPr>
      <w:r>
        <w:rPr>
          <w:b/>
        </w:rPr>
        <w:t xml:space="preserve">Table 1. </w:t>
      </w:r>
      <w:r w:rsidR="00D0120D">
        <w:t xml:space="preserve">Full title of the table </w:t>
      </w:r>
    </w:p>
    <w:tbl>
      <w:tblPr>
        <w:tblStyle w:val="TableGrid"/>
        <w:tblW w:w="4410" w:type="dxa"/>
        <w:tblInd w:w="288" w:type="dxa"/>
        <w:tblLook w:val="04A0" w:firstRow="1" w:lastRow="0" w:firstColumn="1" w:lastColumn="0" w:noHBand="0" w:noVBand="1"/>
      </w:tblPr>
      <w:tblGrid>
        <w:gridCol w:w="1439"/>
        <w:gridCol w:w="1587"/>
        <w:gridCol w:w="1384"/>
      </w:tblGrid>
      <w:tr w:rsidR="00D0120D" w14:paraId="2784A634" w14:textId="77777777" w:rsidTr="00C93076">
        <w:tc>
          <w:tcPr>
            <w:tcW w:w="1439" w:type="dxa"/>
          </w:tcPr>
          <w:p w14:paraId="0D012FB3" w14:textId="77777777" w:rsidR="00D0120D" w:rsidRDefault="00D0120D" w:rsidP="00D0120D">
            <w:pPr>
              <w:pStyle w:val="BodyText"/>
              <w:ind w:left="0" w:right="186"/>
              <w:jc w:val="center"/>
            </w:pPr>
            <w:r>
              <w:t>Test 1</w:t>
            </w:r>
          </w:p>
        </w:tc>
        <w:tc>
          <w:tcPr>
            <w:tcW w:w="1587" w:type="dxa"/>
          </w:tcPr>
          <w:p w14:paraId="018FAE0A" w14:textId="77777777" w:rsidR="00D0120D" w:rsidRDefault="00D0120D" w:rsidP="00D0120D">
            <w:pPr>
              <w:pStyle w:val="BodyText"/>
              <w:ind w:left="0" w:right="186"/>
              <w:jc w:val="center"/>
            </w:pPr>
            <w:r>
              <w:t>Test 2</w:t>
            </w:r>
          </w:p>
        </w:tc>
        <w:tc>
          <w:tcPr>
            <w:tcW w:w="1384" w:type="dxa"/>
          </w:tcPr>
          <w:p w14:paraId="0014581B" w14:textId="77777777" w:rsidR="00D0120D" w:rsidRDefault="00D0120D" w:rsidP="00D0120D">
            <w:pPr>
              <w:pStyle w:val="BodyText"/>
              <w:ind w:left="0" w:right="186"/>
              <w:jc w:val="center"/>
            </w:pPr>
            <w:r>
              <w:t>Test 3</w:t>
            </w:r>
          </w:p>
        </w:tc>
      </w:tr>
      <w:tr w:rsidR="00D0120D" w14:paraId="419799A6" w14:textId="77777777" w:rsidTr="00C93076">
        <w:tc>
          <w:tcPr>
            <w:tcW w:w="1439" w:type="dxa"/>
          </w:tcPr>
          <w:p w14:paraId="26E8E62E" w14:textId="77777777" w:rsidR="00D0120D" w:rsidRDefault="00D0120D" w:rsidP="00D0120D">
            <w:pPr>
              <w:pStyle w:val="BodyText"/>
              <w:ind w:left="0" w:right="186"/>
            </w:pPr>
          </w:p>
        </w:tc>
        <w:tc>
          <w:tcPr>
            <w:tcW w:w="1587" w:type="dxa"/>
          </w:tcPr>
          <w:p w14:paraId="4FD33270" w14:textId="77777777" w:rsidR="00D0120D" w:rsidRDefault="00D0120D" w:rsidP="00D0120D">
            <w:pPr>
              <w:pStyle w:val="BodyText"/>
              <w:ind w:left="0" w:right="186"/>
            </w:pPr>
          </w:p>
        </w:tc>
        <w:tc>
          <w:tcPr>
            <w:tcW w:w="1384" w:type="dxa"/>
          </w:tcPr>
          <w:p w14:paraId="7442CBF6" w14:textId="77777777" w:rsidR="00D0120D" w:rsidRDefault="00D0120D" w:rsidP="00D0120D">
            <w:pPr>
              <w:pStyle w:val="BodyText"/>
              <w:ind w:left="0" w:right="186"/>
            </w:pPr>
          </w:p>
        </w:tc>
      </w:tr>
      <w:tr w:rsidR="00D0120D" w14:paraId="35DED03F" w14:textId="77777777" w:rsidTr="00C93076">
        <w:tc>
          <w:tcPr>
            <w:tcW w:w="1439" w:type="dxa"/>
          </w:tcPr>
          <w:p w14:paraId="6FEE43C1" w14:textId="77777777" w:rsidR="00D0120D" w:rsidRDefault="00D0120D" w:rsidP="00D0120D">
            <w:pPr>
              <w:pStyle w:val="BodyText"/>
              <w:ind w:left="0" w:right="186"/>
            </w:pPr>
          </w:p>
        </w:tc>
        <w:tc>
          <w:tcPr>
            <w:tcW w:w="1587" w:type="dxa"/>
          </w:tcPr>
          <w:p w14:paraId="22AA23C6" w14:textId="77777777" w:rsidR="00D0120D" w:rsidRDefault="00D0120D" w:rsidP="00D0120D">
            <w:pPr>
              <w:pStyle w:val="BodyText"/>
              <w:ind w:left="0" w:right="186"/>
            </w:pPr>
          </w:p>
        </w:tc>
        <w:tc>
          <w:tcPr>
            <w:tcW w:w="1384" w:type="dxa"/>
          </w:tcPr>
          <w:p w14:paraId="742B22B1" w14:textId="77777777" w:rsidR="00D0120D" w:rsidRDefault="00D0120D" w:rsidP="00D0120D">
            <w:pPr>
              <w:pStyle w:val="BodyText"/>
              <w:ind w:left="0" w:right="186"/>
            </w:pPr>
          </w:p>
        </w:tc>
      </w:tr>
      <w:tr w:rsidR="00D0120D" w14:paraId="187F905A" w14:textId="77777777" w:rsidTr="00C93076">
        <w:tc>
          <w:tcPr>
            <w:tcW w:w="1439" w:type="dxa"/>
          </w:tcPr>
          <w:p w14:paraId="3FE7C2C0" w14:textId="77777777" w:rsidR="00D0120D" w:rsidRDefault="00D0120D" w:rsidP="00D0120D">
            <w:pPr>
              <w:pStyle w:val="BodyText"/>
              <w:ind w:left="0" w:right="186"/>
            </w:pPr>
          </w:p>
        </w:tc>
        <w:tc>
          <w:tcPr>
            <w:tcW w:w="1587" w:type="dxa"/>
          </w:tcPr>
          <w:p w14:paraId="39270CA1" w14:textId="77777777" w:rsidR="00D0120D" w:rsidRDefault="00D0120D" w:rsidP="00D0120D">
            <w:pPr>
              <w:pStyle w:val="BodyText"/>
              <w:ind w:left="0" w:right="186"/>
            </w:pPr>
          </w:p>
        </w:tc>
        <w:tc>
          <w:tcPr>
            <w:tcW w:w="1384" w:type="dxa"/>
          </w:tcPr>
          <w:p w14:paraId="2A1C3DE7" w14:textId="77777777" w:rsidR="00D0120D" w:rsidRDefault="00D0120D" w:rsidP="00D0120D">
            <w:pPr>
              <w:pStyle w:val="BodyText"/>
              <w:ind w:left="0" w:right="186"/>
            </w:pPr>
          </w:p>
        </w:tc>
      </w:tr>
      <w:tr w:rsidR="00D0120D" w14:paraId="77E21D02" w14:textId="77777777" w:rsidTr="00C93076">
        <w:tc>
          <w:tcPr>
            <w:tcW w:w="1439" w:type="dxa"/>
          </w:tcPr>
          <w:p w14:paraId="70D18078" w14:textId="77777777" w:rsidR="00D0120D" w:rsidRDefault="00D0120D" w:rsidP="00D0120D">
            <w:pPr>
              <w:pStyle w:val="BodyText"/>
              <w:ind w:left="0" w:right="186"/>
            </w:pPr>
          </w:p>
        </w:tc>
        <w:tc>
          <w:tcPr>
            <w:tcW w:w="1587" w:type="dxa"/>
          </w:tcPr>
          <w:p w14:paraId="303A6924" w14:textId="77777777" w:rsidR="00D0120D" w:rsidRDefault="00D0120D" w:rsidP="00D0120D">
            <w:pPr>
              <w:pStyle w:val="BodyText"/>
              <w:ind w:left="0" w:right="186"/>
            </w:pPr>
          </w:p>
        </w:tc>
        <w:tc>
          <w:tcPr>
            <w:tcW w:w="1384" w:type="dxa"/>
          </w:tcPr>
          <w:p w14:paraId="4BE05322" w14:textId="77777777" w:rsidR="00D0120D" w:rsidRDefault="00D0120D" w:rsidP="00D0120D">
            <w:pPr>
              <w:pStyle w:val="BodyText"/>
              <w:ind w:left="0" w:right="186"/>
            </w:pPr>
          </w:p>
        </w:tc>
      </w:tr>
      <w:tr w:rsidR="00D0120D" w14:paraId="0EFEE86A" w14:textId="77777777" w:rsidTr="00C93076">
        <w:tc>
          <w:tcPr>
            <w:tcW w:w="1439" w:type="dxa"/>
          </w:tcPr>
          <w:p w14:paraId="387FD7E1" w14:textId="77777777" w:rsidR="00D0120D" w:rsidRDefault="00D0120D" w:rsidP="00D0120D">
            <w:pPr>
              <w:pStyle w:val="BodyText"/>
              <w:ind w:left="0" w:right="186"/>
            </w:pPr>
          </w:p>
        </w:tc>
        <w:tc>
          <w:tcPr>
            <w:tcW w:w="1587" w:type="dxa"/>
          </w:tcPr>
          <w:p w14:paraId="1B8999D9" w14:textId="77777777" w:rsidR="00D0120D" w:rsidRDefault="00D0120D" w:rsidP="00D0120D">
            <w:pPr>
              <w:pStyle w:val="BodyText"/>
              <w:ind w:left="0" w:right="186"/>
            </w:pPr>
          </w:p>
        </w:tc>
        <w:tc>
          <w:tcPr>
            <w:tcW w:w="1384" w:type="dxa"/>
          </w:tcPr>
          <w:p w14:paraId="08DFDBC6" w14:textId="77777777" w:rsidR="00D0120D" w:rsidRDefault="00D0120D" w:rsidP="00D0120D">
            <w:pPr>
              <w:pStyle w:val="BodyText"/>
              <w:ind w:left="0" w:right="186"/>
            </w:pPr>
          </w:p>
        </w:tc>
      </w:tr>
    </w:tbl>
    <w:p w14:paraId="6426E7CC" w14:textId="77777777" w:rsidR="00D0120D" w:rsidRDefault="00D0120D" w:rsidP="00D0120D">
      <w:pPr>
        <w:pStyle w:val="BodyText"/>
        <w:ind w:left="141" w:right="186"/>
      </w:pPr>
    </w:p>
    <w:p w14:paraId="43976D47" w14:textId="77777777" w:rsidR="00203365" w:rsidRDefault="00DF4752">
      <w:pPr>
        <w:pStyle w:val="Heading1"/>
        <w:spacing w:line="240" w:lineRule="auto"/>
        <w:ind w:left="141"/>
      </w:pPr>
      <w:r>
        <w:t>Discussion</w:t>
      </w:r>
    </w:p>
    <w:p w14:paraId="2348136A" w14:textId="77777777" w:rsidR="00203365" w:rsidRDefault="00D0120D" w:rsidP="00A16C68">
      <w:pPr>
        <w:pStyle w:val="BodyText"/>
        <w:ind w:left="141" w:right="85" w:firstLine="360"/>
        <w:jc w:val="both"/>
        <w:rPr>
          <w:i/>
        </w:rPr>
      </w:pPr>
      <w:r w:rsidRPr="00D0120D">
        <w:t>The Discussion should explain the significance of the results and place them into a broader context. It should not be redundant with the Results section. This section may contain subheadings and can in some cases be combined with the Results section</w:t>
      </w:r>
      <w:r>
        <w:rPr>
          <w:rFonts w:ascii="Segoe UI" w:hAnsi="Segoe UI" w:cs="Segoe UI"/>
          <w:sz w:val="21"/>
          <w:szCs w:val="21"/>
          <w:shd w:val="clear" w:color="auto" w:fill="FFFFFF"/>
        </w:rPr>
        <w:t>.</w:t>
      </w:r>
      <w:r>
        <w:t xml:space="preserve"> </w:t>
      </w:r>
      <w:r w:rsidR="00C93076">
        <w:t xml:space="preserve">Times new roman 9 pt. </w:t>
      </w:r>
      <w:r w:rsidR="00C93076" w:rsidRPr="00D0120D">
        <w:t>The Discussion should explain the significance of the results and place them into a broader context. It should not be redundant with the Results section. This section may contain subheadings and can in some cases be combined with the Results section</w:t>
      </w:r>
      <w:r w:rsidR="00C93076">
        <w:rPr>
          <w:rFonts w:ascii="Segoe UI" w:hAnsi="Segoe UI" w:cs="Segoe UI"/>
          <w:sz w:val="21"/>
          <w:szCs w:val="21"/>
          <w:shd w:val="clear" w:color="auto" w:fill="FFFFFF"/>
        </w:rPr>
        <w:t>.</w:t>
      </w:r>
      <w:r w:rsidR="00C93076">
        <w:t xml:space="preserve"> Times new roman 9 pt.</w:t>
      </w:r>
      <w:r w:rsidR="00C93076" w:rsidRPr="00C93076">
        <w:t xml:space="preserve"> </w:t>
      </w:r>
      <w:r w:rsidR="00C93076" w:rsidRPr="00D0120D">
        <w:t>The Discussion should explain the significance of the results and place them into a broader context. It should not be redundant with the Results section. This section may contain subheadings and can in some cases be combined with the Results section</w:t>
      </w:r>
      <w:r w:rsidR="00C93076">
        <w:rPr>
          <w:rFonts w:ascii="Segoe UI" w:hAnsi="Segoe UI" w:cs="Segoe UI"/>
          <w:sz w:val="21"/>
          <w:szCs w:val="21"/>
          <w:shd w:val="clear" w:color="auto" w:fill="FFFFFF"/>
        </w:rPr>
        <w:t>.</w:t>
      </w:r>
      <w:r w:rsidR="00C93076">
        <w:t xml:space="preserve"> Times new roman 9 pt. </w:t>
      </w:r>
      <w:r w:rsidR="00DF4752">
        <w:t>More likely, samp</w:t>
      </w:r>
      <w:r w:rsidR="00C93076">
        <w:t xml:space="preserve">les (Mueller and Austin, 1995), and </w:t>
      </w:r>
      <w:r w:rsidR="00DF4752">
        <w:t>samples is well</w:t>
      </w:r>
      <w:r w:rsidR="00DF4752">
        <w:rPr>
          <w:spacing w:val="-13"/>
        </w:rPr>
        <w:t xml:space="preserve"> </w:t>
      </w:r>
      <w:r w:rsidR="00DF4752">
        <w:t>documented</w:t>
      </w:r>
      <w:r w:rsidR="00DF4752">
        <w:rPr>
          <w:spacing w:val="-12"/>
        </w:rPr>
        <w:t xml:space="preserve"> </w:t>
      </w:r>
      <w:r w:rsidR="00DF4752">
        <w:t>(Moran</w:t>
      </w:r>
      <w:r w:rsidR="00DF4752">
        <w:rPr>
          <w:spacing w:val="-11"/>
        </w:rPr>
        <w:t xml:space="preserve"> </w:t>
      </w:r>
      <w:r w:rsidR="00DF4752">
        <w:rPr>
          <w:i/>
        </w:rPr>
        <w:t>et</w:t>
      </w:r>
      <w:r w:rsidR="00DF4752">
        <w:rPr>
          <w:i/>
          <w:spacing w:val="-12"/>
        </w:rPr>
        <w:t xml:space="preserve"> </w:t>
      </w:r>
      <w:r w:rsidR="00DF4752">
        <w:rPr>
          <w:i/>
        </w:rPr>
        <w:t>al</w:t>
      </w:r>
      <w:r w:rsidR="00DF4752">
        <w:t>.,</w:t>
      </w:r>
      <w:r w:rsidR="00DF4752">
        <w:rPr>
          <w:spacing w:val="-13"/>
        </w:rPr>
        <w:t xml:space="preserve"> </w:t>
      </w:r>
      <w:r w:rsidR="00DF4752">
        <w:t>2000;</w:t>
      </w:r>
      <w:r w:rsidR="00DF4752">
        <w:rPr>
          <w:spacing w:val="-12"/>
        </w:rPr>
        <w:t xml:space="preserve"> </w:t>
      </w:r>
      <w:r w:rsidR="00DF4752">
        <w:t>Del</w:t>
      </w:r>
      <w:r w:rsidR="00DF4752">
        <w:rPr>
          <w:spacing w:val="-13"/>
        </w:rPr>
        <w:t xml:space="preserve"> </w:t>
      </w:r>
      <w:r w:rsidR="00DF4752">
        <w:t>Vecchio</w:t>
      </w:r>
      <w:r w:rsidR="00DF4752">
        <w:rPr>
          <w:spacing w:val="-12"/>
        </w:rPr>
        <w:t xml:space="preserve"> </w:t>
      </w:r>
      <w:r w:rsidR="00DF4752">
        <w:t>and</w:t>
      </w:r>
      <w:r w:rsidR="00DF4752">
        <w:rPr>
          <w:spacing w:val="-13"/>
        </w:rPr>
        <w:t xml:space="preserve"> </w:t>
      </w:r>
      <w:r w:rsidR="00DF4752">
        <w:t xml:space="preserve">Blough, 2004; </w:t>
      </w:r>
      <w:proofErr w:type="spellStart"/>
      <w:r w:rsidR="00DF4752">
        <w:t>Tzortziou</w:t>
      </w:r>
      <w:proofErr w:type="spellEnd"/>
      <w:r w:rsidR="00DF4752">
        <w:t xml:space="preserve"> </w:t>
      </w:r>
      <w:r w:rsidR="00DF4752">
        <w:rPr>
          <w:i/>
        </w:rPr>
        <w:t>et al</w:t>
      </w:r>
      <w:r w:rsidR="00DF4752">
        <w:t xml:space="preserve">., 2007; </w:t>
      </w:r>
      <w:proofErr w:type="spellStart"/>
      <w:r w:rsidR="00DF4752">
        <w:t>Wickland</w:t>
      </w:r>
      <w:proofErr w:type="spellEnd"/>
      <w:r w:rsidR="00DF4752">
        <w:t xml:space="preserve"> </w:t>
      </w:r>
      <w:r w:rsidR="00DF4752">
        <w:rPr>
          <w:i/>
        </w:rPr>
        <w:t>et al</w:t>
      </w:r>
      <w:r w:rsidR="00DF4752">
        <w:t xml:space="preserve">., 2007; </w:t>
      </w:r>
      <w:proofErr w:type="spellStart"/>
      <w:r w:rsidR="00DF4752">
        <w:t>Osburn</w:t>
      </w:r>
      <w:proofErr w:type="spellEnd"/>
      <w:r w:rsidR="00DF4752">
        <w:rPr>
          <w:spacing w:val="30"/>
        </w:rPr>
        <w:t xml:space="preserve"> </w:t>
      </w:r>
      <w:r w:rsidR="00DF4752">
        <w:rPr>
          <w:i/>
        </w:rPr>
        <w:t>et</w:t>
      </w:r>
    </w:p>
    <w:p w14:paraId="1F1D7C16" w14:textId="77777777" w:rsidR="00203365" w:rsidRDefault="00DF4752" w:rsidP="00C93076">
      <w:pPr>
        <w:pStyle w:val="BodyText"/>
        <w:spacing w:before="82"/>
        <w:ind w:left="140" w:right="41"/>
        <w:jc w:val="both"/>
      </w:pPr>
      <w:r>
        <w:rPr>
          <w:i/>
        </w:rPr>
        <w:t>al</w:t>
      </w:r>
      <w:r>
        <w:t xml:space="preserve">., 2009). </w:t>
      </w:r>
    </w:p>
    <w:p w14:paraId="492E22C5" w14:textId="77777777" w:rsidR="00203365" w:rsidRDefault="00DF4752">
      <w:pPr>
        <w:pStyle w:val="Heading1"/>
        <w:spacing w:before="1"/>
      </w:pPr>
      <w:r>
        <w:t>Conclusion</w:t>
      </w:r>
    </w:p>
    <w:p w14:paraId="09F8C40D" w14:textId="77777777" w:rsidR="00C93076" w:rsidRPr="00C93076" w:rsidRDefault="00C93076" w:rsidP="00C93076">
      <w:pPr>
        <w:pStyle w:val="BodyText"/>
        <w:ind w:left="140" w:right="85" w:firstLine="360"/>
        <w:jc w:val="both"/>
      </w:pPr>
      <w:r w:rsidRPr="00C93076">
        <w:t>Don't send figure panels as individual files.</w:t>
      </w:r>
      <w:r>
        <w:t xml:space="preserve"> </w:t>
      </w:r>
      <w:r w:rsidRPr="00C93076">
        <w:t>Each figure should be able to fit on a single 8.5 x 11 inch page.</w:t>
      </w:r>
      <w:r>
        <w:t xml:space="preserve"> </w:t>
      </w:r>
      <w:r w:rsidRPr="00C93076">
        <w:t xml:space="preserve">Figures must be placed in word document at the appropriate place with </w:t>
      </w:r>
      <w:r w:rsidRPr="00C93076">
        <w:t>the corresponding title.</w:t>
      </w:r>
      <w:r>
        <w:t xml:space="preserve"> </w:t>
      </w:r>
      <w:r w:rsidRPr="00C93076">
        <w:t>Don't send figure panels as individual files.</w:t>
      </w:r>
      <w:r>
        <w:t xml:space="preserve"> </w:t>
      </w:r>
      <w:r w:rsidRPr="00C93076">
        <w:t>Each figure should be able to fit on a single 8.5 x 11 inch page.</w:t>
      </w:r>
      <w:r>
        <w:t xml:space="preserve"> </w:t>
      </w:r>
      <w:r w:rsidRPr="00C93076">
        <w:t>Figures must be placed in word document at the appropriate place with the corresponding title. Don't send figure panels as individual files.</w:t>
      </w:r>
      <w:r>
        <w:t xml:space="preserve"> </w:t>
      </w:r>
      <w:r w:rsidRPr="00C93076">
        <w:t>Each figure should be able to fit on a single 8.5 x 11 inch page.</w:t>
      </w:r>
      <w:r>
        <w:t xml:space="preserve"> </w:t>
      </w:r>
      <w:r w:rsidRPr="00C93076">
        <w:t>Figures must be placed in word document at the appropriate place with the corresponding title. Don't send figure panels as individual files.</w:t>
      </w:r>
      <w:r>
        <w:t xml:space="preserve"> </w:t>
      </w:r>
      <w:r w:rsidRPr="00C93076">
        <w:t>Each figure should be able to fit on a single 8.5 x 11 inch page.</w:t>
      </w:r>
      <w:r>
        <w:t xml:space="preserve"> </w:t>
      </w:r>
      <w:r w:rsidRPr="00C93076">
        <w:t>Figures must be placed in word document at the appropriate place with the corresponding title.</w:t>
      </w:r>
    </w:p>
    <w:p w14:paraId="2785CA17" w14:textId="77777777" w:rsidR="00C93076" w:rsidRDefault="00C93076" w:rsidP="00C93076">
      <w:pPr>
        <w:pStyle w:val="BodyText"/>
        <w:ind w:left="140" w:right="85" w:firstLine="360"/>
        <w:jc w:val="both"/>
      </w:pPr>
      <w:r w:rsidRPr="00C93076">
        <w:t>Don't send figure panels as individual files.</w:t>
      </w:r>
      <w:r>
        <w:t xml:space="preserve"> </w:t>
      </w:r>
      <w:r w:rsidRPr="00C93076">
        <w:t>Each figure should be able to fit on a single 8.5 x 11 inch page.</w:t>
      </w:r>
      <w:r>
        <w:t xml:space="preserve"> </w:t>
      </w:r>
      <w:r w:rsidRPr="00C93076">
        <w:t>Figures must be placed in word document at the appropriate place with the corresponding title.</w:t>
      </w:r>
      <w:r>
        <w:t xml:space="preserve"> </w:t>
      </w:r>
      <w:r w:rsidRPr="00C93076">
        <w:t>Don't send figure panels as individual files.</w:t>
      </w:r>
      <w:r>
        <w:t xml:space="preserve"> </w:t>
      </w:r>
      <w:r w:rsidRPr="00C93076">
        <w:t>Each figure should be able to fit on a single 8.5 x 11 inch page.</w:t>
      </w:r>
      <w:r>
        <w:t xml:space="preserve"> </w:t>
      </w:r>
      <w:r w:rsidRPr="00C93076">
        <w:t>Figures must be placed in word document at the appropriate place with the corresponding title.</w:t>
      </w:r>
    </w:p>
    <w:p w14:paraId="52A6A401" w14:textId="77777777" w:rsidR="00203365" w:rsidRDefault="00DF4752" w:rsidP="00C93076">
      <w:pPr>
        <w:pStyle w:val="Heading1"/>
        <w:spacing w:before="1"/>
      </w:pPr>
      <w:r>
        <w:t>Acknowledgements</w:t>
      </w:r>
    </w:p>
    <w:p w14:paraId="5DEE976C" w14:textId="77777777" w:rsidR="00C93076" w:rsidRPr="00C93076" w:rsidRDefault="00C93076" w:rsidP="00C93076">
      <w:pPr>
        <w:pStyle w:val="BodyText"/>
        <w:ind w:left="140" w:right="85" w:firstLine="360"/>
        <w:jc w:val="both"/>
      </w:pPr>
      <w:r w:rsidRPr="00C93076">
        <w:t>This section may acknowledge contributions from non-authors, list funding sources, and should include a statement of any conflict of interests. Please check this section carefully, as we cannot allow amendments or corrections after publication. This section may be used to list the contributions of individual authors.</w:t>
      </w:r>
    </w:p>
    <w:p w14:paraId="2533FB01" w14:textId="77777777" w:rsidR="00203365" w:rsidRDefault="00DF4752">
      <w:pPr>
        <w:pStyle w:val="Heading1"/>
        <w:spacing w:line="240" w:lineRule="auto"/>
      </w:pPr>
      <w:r>
        <w:t>References</w:t>
      </w:r>
    </w:p>
    <w:p w14:paraId="56311700" w14:textId="77777777" w:rsidR="00203365" w:rsidRPr="00C93076" w:rsidRDefault="00C93076" w:rsidP="00C93076">
      <w:pPr>
        <w:pStyle w:val="BodyText"/>
        <w:ind w:left="140" w:right="85" w:firstLine="360"/>
        <w:jc w:val="both"/>
      </w:pPr>
      <w:r>
        <w:t>R</w:t>
      </w:r>
      <w:r w:rsidRPr="00C93076">
        <w:t>eferences should include only articles that are published. Unpublished data, submitted manuscripts, abstracts, and personal communications should be cited within the text only. Personal communication should be documented by a letter of permission. Submitted articles should be cited as unpublished data, data not shown, or personal communication. Please use APA style for references.</w:t>
      </w:r>
    </w:p>
    <w:p w14:paraId="344C3956" w14:textId="77777777" w:rsidR="00203365" w:rsidRDefault="00DF4752" w:rsidP="00911EBC">
      <w:pPr>
        <w:ind w:left="860" w:right="100" w:hanging="721"/>
        <w:jc w:val="both"/>
        <w:rPr>
          <w:sz w:val="18"/>
        </w:rPr>
      </w:pPr>
      <w:r>
        <w:rPr>
          <w:sz w:val="18"/>
        </w:rPr>
        <w:t xml:space="preserve">Aiken, G. (2014). “Fluorescence and dissolved organic matter: a chemist's perspective.” </w:t>
      </w:r>
      <w:r>
        <w:rPr>
          <w:i/>
          <w:sz w:val="18"/>
        </w:rPr>
        <w:t>Aquatic Organic Matter Fluorescence</w:t>
      </w:r>
      <w:r>
        <w:rPr>
          <w:sz w:val="18"/>
        </w:rPr>
        <w:t>, pp. 35–74.</w:t>
      </w:r>
    </w:p>
    <w:p w14:paraId="6B406604" w14:textId="77777777" w:rsidR="00203365" w:rsidRDefault="00DF4752" w:rsidP="00911EBC">
      <w:pPr>
        <w:pStyle w:val="BodyText"/>
        <w:spacing w:before="1"/>
        <w:ind w:right="100" w:hanging="721"/>
        <w:jc w:val="both"/>
      </w:pPr>
      <w:r>
        <w:t>Artigas, F., Shin, J., Hobble, C., Marti-</w:t>
      </w:r>
      <w:proofErr w:type="spellStart"/>
      <w:r>
        <w:t>Donati</w:t>
      </w:r>
      <w:proofErr w:type="spellEnd"/>
      <w:r>
        <w:t xml:space="preserve">, A., Schafer, K., </w:t>
      </w:r>
      <w:proofErr w:type="spellStart"/>
      <w:r>
        <w:t>Pechmann</w:t>
      </w:r>
      <w:proofErr w:type="spellEnd"/>
      <w:r>
        <w:t xml:space="preserve">, I. (2015). “Long term carbon storage potential and CO2 sink strength of a restored salt marsh in New Jersey.” </w:t>
      </w:r>
      <w:r>
        <w:rPr>
          <w:i/>
        </w:rPr>
        <w:t>Agricultural and Forest Meteorology</w:t>
      </w:r>
      <w:r>
        <w:t>, 200:</w:t>
      </w:r>
      <w:r>
        <w:rPr>
          <w:spacing w:val="-5"/>
        </w:rPr>
        <w:t xml:space="preserve"> </w:t>
      </w:r>
      <w:r>
        <w:t>313–321.</w:t>
      </w:r>
    </w:p>
    <w:p w14:paraId="20969620" w14:textId="77777777" w:rsidR="00203365" w:rsidRDefault="00DF4752" w:rsidP="00911EBC">
      <w:pPr>
        <w:pStyle w:val="BodyText"/>
        <w:ind w:right="100" w:hanging="721"/>
        <w:jc w:val="both"/>
      </w:pPr>
      <w:r>
        <w:t xml:space="preserve">Baker, A., Ward, D., </w:t>
      </w:r>
      <w:proofErr w:type="spellStart"/>
      <w:r>
        <w:t>Lieten</w:t>
      </w:r>
      <w:proofErr w:type="spellEnd"/>
      <w:r>
        <w:t xml:space="preserve">, S., </w:t>
      </w:r>
      <w:proofErr w:type="spellStart"/>
      <w:r>
        <w:t>Periera</w:t>
      </w:r>
      <w:proofErr w:type="spellEnd"/>
      <w:r>
        <w:t xml:space="preserve">, R., Simpson, E., Slater, M. (2004). “Measurement of protein-like fluorescence in river and waste water using a handheld spectrophotometer.” </w:t>
      </w:r>
      <w:r>
        <w:rPr>
          <w:i/>
        </w:rPr>
        <w:t>Water Res</w:t>
      </w:r>
      <w:r>
        <w:t>. 38 (12):</w:t>
      </w:r>
    </w:p>
    <w:p w14:paraId="4C0A080A" w14:textId="77777777" w:rsidR="00203365" w:rsidRDefault="00DF4752" w:rsidP="00911EBC">
      <w:pPr>
        <w:pStyle w:val="BodyText"/>
        <w:spacing w:line="207" w:lineRule="exact"/>
        <w:ind w:right="100"/>
        <w:jc w:val="both"/>
      </w:pPr>
      <w:r>
        <w:t>2934-2938.</w:t>
      </w:r>
    </w:p>
    <w:p w14:paraId="37E34D3D" w14:textId="77777777" w:rsidR="00203365" w:rsidRDefault="00DF4752" w:rsidP="00911EBC">
      <w:pPr>
        <w:pStyle w:val="BodyText"/>
        <w:ind w:right="100" w:hanging="721"/>
        <w:jc w:val="both"/>
      </w:pPr>
      <w:r>
        <w:t xml:space="preserve">“Black-Comet-SR Spectrometer with Research Grade Concave Grating Optics.” 2018. </w:t>
      </w:r>
      <w:proofErr w:type="spellStart"/>
      <w:r>
        <w:rPr>
          <w:i/>
        </w:rPr>
        <w:t>StellarNet</w:t>
      </w:r>
      <w:proofErr w:type="spellEnd"/>
      <w:r>
        <w:rPr>
          <w:i/>
        </w:rPr>
        <w:t xml:space="preserve"> Inc. </w:t>
      </w:r>
      <w:r>
        <w:t>Accessed 29 October 2018.</w:t>
      </w:r>
    </w:p>
    <w:p w14:paraId="2616DC54" w14:textId="77777777" w:rsidR="00203365" w:rsidRDefault="00DF4752" w:rsidP="00911EBC">
      <w:pPr>
        <w:pStyle w:val="BodyText"/>
        <w:ind w:right="100" w:hanging="721"/>
        <w:jc w:val="both"/>
      </w:pPr>
      <w:proofErr w:type="spellStart"/>
      <w:r>
        <w:t>Brezonik</w:t>
      </w:r>
      <w:proofErr w:type="spellEnd"/>
      <w:r>
        <w:t xml:space="preserve">, P., Menken, K., Bauer, M. (2005). “Landsat-based remote sensing of lake water quality characteristics, including chlorophyll and colored dissolved organic matter (CDOM).” </w:t>
      </w:r>
      <w:r>
        <w:rPr>
          <w:i/>
        </w:rPr>
        <w:t xml:space="preserve">Lake Reservoir </w:t>
      </w:r>
      <w:proofErr w:type="spellStart"/>
      <w:r>
        <w:rPr>
          <w:i/>
        </w:rPr>
        <w:t>Manag</w:t>
      </w:r>
      <w:proofErr w:type="spellEnd"/>
      <w:r>
        <w:t>., 21: 373– 382.</w:t>
      </w:r>
    </w:p>
    <w:p w14:paraId="560F3AB6" w14:textId="77777777" w:rsidR="00203365" w:rsidRDefault="00DF4752" w:rsidP="00911EBC">
      <w:pPr>
        <w:pStyle w:val="BodyText"/>
        <w:ind w:right="100" w:hanging="721"/>
        <w:jc w:val="both"/>
      </w:pPr>
      <w:proofErr w:type="spellStart"/>
      <w:r w:rsidRPr="00C93076">
        <w:rPr>
          <w:lang w:val="fr-BE"/>
        </w:rPr>
        <w:t>Brezonik</w:t>
      </w:r>
      <w:proofErr w:type="spellEnd"/>
      <w:r w:rsidRPr="00C93076">
        <w:rPr>
          <w:lang w:val="fr-BE"/>
        </w:rPr>
        <w:t xml:space="preserve">, P., </w:t>
      </w:r>
      <w:proofErr w:type="spellStart"/>
      <w:r w:rsidRPr="00C93076">
        <w:rPr>
          <w:lang w:val="fr-BE"/>
        </w:rPr>
        <w:t>Olmanson</w:t>
      </w:r>
      <w:proofErr w:type="spellEnd"/>
      <w:r w:rsidRPr="00C93076">
        <w:rPr>
          <w:lang w:val="fr-BE"/>
        </w:rPr>
        <w:t>, L., Finlay, J., Bauer, M. (2015).</w:t>
      </w:r>
      <w:r w:rsidR="00C93076" w:rsidRPr="00C93076">
        <w:rPr>
          <w:lang w:val="fr-BE"/>
        </w:rPr>
        <w:t xml:space="preserve"> </w:t>
      </w:r>
      <w:r w:rsidRPr="00C93076">
        <w:rPr>
          <w:lang w:val="fr-BE"/>
        </w:rPr>
        <w:t xml:space="preserve"> </w:t>
      </w:r>
      <w:r>
        <w:t xml:space="preserve">“Factors affecting the measurement of CDOM by remote sensing of optically complex inland waters.” </w:t>
      </w:r>
      <w:r>
        <w:rPr>
          <w:i/>
        </w:rPr>
        <w:t>Remote Sens. Environ</w:t>
      </w:r>
      <w:r>
        <w:t>., 157: 199–215.</w:t>
      </w:r>
    </w:p>
    <w:p w14:paraId="214C3ACD" w14:textId="77777777" w:rsidR="00203365" w:rsidRDefault="00DF4752" w:rsidP="005911D6">
      <w:pPr>
        <w:pStyle w:val="BodyText"/>
        <w:spacing w:before="1"/>
        <w:ind w:right="10" w:hanging="720"/>
        <w:jc w:val="both"/>
      </w:pPr>
      <w:proofErr w:type="spellStart"/>
      <w:r>
        <w:t>Bricaud</w:t>
      </w:r>
      <w:proofErr w:type="spellEnd"/>
      <w:r>
        <w:t xml:space="preserve">, A., Morel, A., </w:t>
      </w:r>
      <w:proofErr w:type="spellStart"/>
      <w:r>
        <w:t>Prieur</w:t>
      </w:r>
      <w:proofErr w:type="spellEnd"/>
      <w:r>
        <w:t xml:space="preserve">, L. (1981). “Absorption by dissolved organic matter of the sea (yellow substance) in the UV and visible domains.” </w:t>
      </w:r>
      <w:proofErr w:type="spellStart"/>
      <w:r w:rsidRPr="005911D6">
        <w:t>Limnol</w:t>
      </w:r>
      <w:proofErr w:type="spellEnd"/>
      <w:r w:rsidRPr="005911D6">
        <w:t xml:space="preserve">. </w:t>
      </w:r>
      <w:proofErr w:type="spellStart"/>
      <w:r w:rsidRPr="005911D6">
        <w:t>Oceanogr</w:t>
      </w:r>
      <w:proofErr w:type="spellEnd"/>
      <w:r w:rsidRPr="005911D6">
        <w:t xml:space="preserve">. </w:t>
      </w:r>
      <w:r>
        <w:t>26: 43–53.</w:t>
      </w:r>
    </w:p>
    <w:p w14:paraId="0478866B" w14:textId="77777777" w:rsidR="00203365" w:rsidRDefault="00DF4752" w:rsidP="005911D6">
      <w:pPr>
        <w:pStyle w:val="BodyText"/>
        <w:spacing w:before="1"/>
        <w:ind w:right="10" w:hanging="720"/>
        <w:jc w:val="both"/>
      </w:pPr>
      <w:proofErr w:type="spellStart"/>
      <w:r>
        <w:t>Bushaw</w:t>
      </w:r>
      <w:proofErr w:type="spellEnd"/>
      <w:r>
        <w:t xml:space="preserve">, K., </w:t>
      </w:r>
      <w:proofErr w:type="spellStart"/>
      <w:r>
        <w:t>Zepp</w:t>
      </w:r>
      <w:proofErr w:type="spellEnd"/>
      <w:r>
        <w:t xml:space="preserve">, R., </w:t>
      </w:r>
      <w:proofErr w:type="spellStart"/>
      <w:r>
        <w:t>Tarr</w:t>
      </w:r>
      <w:proofErr w:type="spellEnd"/>
      <w:r>
        <w:t>, M., Schulz-</w:t>
      </w:r>
      <w:proofErr w:type="spellStart"/>
      <w:r>
        <w:t>Jander</w:t>
      </w:r>
      <w:proofErr w:type="spellEnd"/>
      <w:r>
        <w:t xml:space="preserve">, D., </w:t>
      </w:r>
      <w:proofErr w:type="spellStart"/>
      <w:r>
        <w:t>Bourbonniere</w:t>
      </w:r>
      <w:proofErr w:type="spellEnd"/>
      <w:r>
        <w:t xml:space="preserve">, R., Hodson, R., Miller, W., </w:t>
      </w:r>
      <w:proofErr w:type="spellStart"/>
      <w:r>
        <w:t>Bronk</w:t>
      </w:r>
      <w:proofErr w:type="spellEnd"/>
      <w:r>
        <w:t>, D., Moran, M. (1 996). “Photochemical release of biologically available nitrogen</w:t>
      </w:r>
    </w:p>
    <w:p w14:paraId="1EC97656" w14:textId="77777777" w:rsidR="00203365" w:rsidRDefault="00DF4752" w:rsidP="005911D6">
      <w:pPr>
        <w:pStyle w:val="BodyText"/>
        <w:spacing w:before="1"/>
        <w:ind w:right="10" w:hanging="720"/>
        <w:jc w:val="both"/>
      </w:pPr>
      <w:r>
        <w:t xml:space="preserve">from aquatic dissolved organic matter.” </w:t>
      </w:r>
      <w:r w:rsidRPr="005911D6">
        <w:t>Nature</w:t>
      </w:r>
      <w:r>
        <w:t>, 381: 404-407.</w:t>
      </w:r>
    </w:p>
    <w:p w14:paraId="31CD9550" w14:textId="77777777" w:rsidR="00203365" w:rsidRDefault="00DF4752" w:rsidP="005911D6">
      <w:pPr>
        <w:pStyle w:val="BodyText"/>
        <w:spacing w:before="1"/>
        <w:ind w:right="10" w:hanging="720"/>
        <w:jc w:val="both"/>
      </w:pPr>
      <w:r>
        <w:t xml:space="preserve">Del Vecchio, R., Blough, N. (2004). “On the origin of the optical </w:t>
      </w:r>
      <w:r>
        <w:lastRenderedPageBreak/>
        <w:t xml:space="preserve">properties of </w:t>
      </w:r>
      <w:proofErr w:type="spellStart"/>
      <w:r>
        <w:t>humic</w:t>
      </w:r>
      <w:proofErr w:type="spellEnd"/>
      <w:r>
        <w:t xml:space="preserve"> substances.” </w:t>
      </w:r>
      <w:r w:rsidRPr="005911D6">
        <w:t>Environ. Sci. Technol</w:t>
      </w:r>
      <w:r>
        <w:t>., 38: 3885–3891.</w:t>
      </w:r>
    </w:p>
    <w:p w14:paraId="36E5F042" w14:textId="77777777" w:rsidR="00203365" w:rsidRDefault="00DF4752" w:rsidP="005911D6">
      <w:pPr>
        <w:pStyle w:val="BodyText"/>
        <w:spacing w:before="1"/>
        <w:ind w:right="10" w:hanging="720"/>
        <w:jc w:val="both"/>
      </w:pPr>
      <w:r>
        <w:t xml:space="preserve">Doblin, M., Blackburn, S., </w:t>
      </w:r>
      <w:proofErr w:type="spellStart"/>
      <w:r>
        <w:t>Hallegraeff</w:t>
      </w:r>
      <w:proofErr w:type="spellEnd"/>
      <w:r>
        <w:t xml:space="preserve">, G. (1999). “Growth and biomass stimulation of the toxic dinoflagellate </w:t>
      </w:r>
      <w:proofErr w:type="spellStart"/>
      <w:r w:rsidRPr="005911D6">
        <w:t>Gymnodinium</w:t>
      </w:r>
      <w:proofErr w:type="spellEnd"/>
      <w:r w:rsidRPr="005911D6">
        <w:t xml:space="preserve"> </w:t>
      </w:r>
      <w:proofErr w:type="spellStart"/>
      <w:r w:rsidRPr="005911D6">
        <w:t>catenatum</w:t>
      </w:r>
      <w:proofErr w:type="spellEnd"/>
      <w:r w:rsidRPr="005911D6">
        <w:t xml:space="preserve"> </w:t>
      </w:r>
      <w:r>
        <w:t xml:space="preserve">(Graham) by dissolved organic substances.” </w:t>
      </w:r>
      <w:r w:rsidRPr="005911D6">
        <w:t>J. Exp. Mar. Biol. Ecol.</w:t>
      </w:r>
      <w:r>
        <w:t>, 236: 33-47.</w:t>
      </w:r>
    </w:p>
    <w:p w14:paraId="2E3EF7C8" w14:textId="77777777" w:rsidR="00203365" w:rsidRDefault="000469E7" w:rsidP="005911D6">
      <w:pPr>
        <w:pStyle w:val="BodyText"/>
        <w:spacing w:before="1"/>
        <w:ind w:right="10" w:hanging="720"/>
        <w:jc w:val="both"/>
      </w:pPr>
      <w:hyperlink r:id="rId11">
        <w:proofErr w:type="spellStart"/>
        <w:r w:rsidR="00DF4752">
          <w:t>D'Sa</w:t>
        </w:r>
        <w:proofErr w:type="spellEnd"/>
        <w:r w:rsidR="00DF4752">
          <w:t xml:space="preserve">, </w:t>
        </w:r>
      </w:hyperlink>
      <w:r w:rsidR="00DF4752">
        <w:t xml:space="preserve">E., </w:t>
      </w:r>
      <w:hyperlink r:id="rId12">
        <w:r w:rsidR="00DF4752">
          <w:t xml:space="preserve">Steward, </w:t>
        </w:r>
      </w:hyperlink>
      <w:r w:rsidR="00DF4752">
        <w:t xml:space="preserve">R., </w:t>
      </w:r>
      <w:hyperlink r:id="rId13">
        <w:proofErr w:type="spellStart"/>
        <w:r w:rsidR="00DF4752">
          <w:t>Vodacek</w:t>
        </w:r>
        <w:proofErr w:type="spellEnd"/>
        <w:r w:rsidR="00DF4752">
          <w:t xml:space="preserve">, </w:t>
        </w:r>
      </w:hyperlink>
      <w:r w:rsidR="00DF4752">
        <w:t xml:space="preserve">A., </w:t>
      </w:r>
      <w:hyperlink r:id="rId14">
        <w:r w:rsidR="00DF4752">
          <w:t xml:space="preserve">Blough, </w:t>
        </w:r>
      </w:hyperlink>
      <w:r w:rsidR="00DF4752">
        <w:t xml:space="preserve">N., </w:t>
      </w:r>
      <w:hyperlink r:id="rId15">
        <w:r w:rsidR="00DF4752">
          <w:t xml:space="preserve">Phinney, </w:t>
        </w:r>
      </w:hyperlink>
      <w:r w:rsidR="00DF4752">
        <w:t xml:space="preserve">D. (1999). “Determining optical absorption of colored dissolved organic matter in seawater with a liquid capillary waveguide.” </w:t>
      </w:r>
      <w:proofErr w:type="spellStart"/>
      <w:r w:rsidR="00DF4752" w:rsidRPr="005911D6">
        <w:t>Limnol</w:t>
      </w:r>
      <w:proofErr w:type="spellEnd"/>
      <w:r w:rsidR="00DF4752" w:rsidRPr="005911D6">
        <w:t xml:space="preserve">. </w:t>
      </w:r>
      <w:proofErr w:type="spellStart"/>
      <w:r w:rsidR="00DF4752" w:rsidRPr="005911D6">
        <w:t>Oceanogr</w:t>
      </w:r>
      <w:proofErr w:type="spellEnd"/>
      <w:r w:rsidR="00DF4752">
        <w:t>., 44(4):1142–1148.</w:t>
      </w:r>
    </w:p>
    <w:p w14:paraId="40B48B66" w14:textId="77777777" w:rsidR="00203365" w:rsidRDefault="00DF4752" w:rsidP="005911D6">
      <w:pPr>
        <w:pStyle w:val="BodyText"/>
        <w:spacing w:before="1"/>
        <w:ind w:right="10" w:hanging="720"/>
        <w:jc w:val="both"/>
      </w:pPr>
      <w:r>
        <w:t xml:space="preserve">Ferrari, G., </w:t>
      </w:r>
      <w:proofErr w:type="spellStart"/>
      <w:r>
        <w:t>Tassan</w:t>
      </w:r>
      <w:proofErr w:type="spellEnd"/>
      <w:r>
        <w:t xml:space="preserve">, S. (1992). “Evaluation of the influence of yellow substance absorption on the remote sensing of water quality in the Gulf of Naples: a case study.” </w:t>
      </w:r>
      <w:r w:rsidRPr="005911D6">
        <w:t xml:space="preserve">Int. J. Remote Sens, </w:t>
      </w:r>
      <w:r>
        <w:t>13: 2177–2189.</w:t>
      </w:r>
    </w:p>
    <w:p w14:paraId="6954966D" w14:textId="77777777" w:rsidR="00203365" w:rsidRDefault="00DF4752" w:rsidP="005911D6">
      <w:pPr>
        <w:pStyle w:val="BodyText"/>
        <w:spacing w:before="1"/>
        <w:ind w:right="10" w:hanging="720"/>
        <w:jc w:val="both"/>
      </w:pPr>
      <w:r>
        <w:t xml:space="preserve">Foden, J., </w:t>
      </w:r>
      <w:proofErr w:type="spellStart"/>
      <w:r>
        <w:t>Sivyer</w:t>
      </w:r>
      <w:proofErr w:type="spellEnd"/>
      <w:r>
        <w:t xml:space="preserve">, D., Mills, D., Devlin, M. (2008). “Spatial and temporal distribution of </w:t>
      </w:r>
      <w:proofErr w:type="spellStart"/>
      <w:r>
        <w:t>chromophoric</w:t>
      </w:r>
      <w:proofErr w:type="spellEnd"/>
      <w:r>
        <w:t xml:space="preserve"> dissolved organic matter (CDOM) fluorescence and its contribution to light attenuation in UK</w:t>
      </w:r>
      <w:r w:rsidR="00911EBC">
        <w:t xml:space="preserve">. </w:t>
      </w:r>
      <w:r>
        <w:t xml:space="preserve">waterbodies.” </w:t>
      </w:r>
      <w:proofErr w:type="spellStart"/>
      <w:r w:rsidRPr="005911D6">
        <w:t>Estuar</w:t>
      </w:r>
      <w:proofErr w:type="spellEnd"/>
      <w:r w:rsidRPr="005911D6">
        <w:t>. Coast. Shelf Sci</w:t>
      </w:r>
      <w:r>
        <w:t>. 79 (4): 707-</w:t>
      </w:r>
    </w:p>
    <w:p w14:paraId="6D1BD3A6" w14:textId="77777777" w:rsidR="00203365" w:rsidRDefault="00DF4752" w:rsidP="005911D6">
      <w:pPr>
        <w:pStyle w:val="BodyText"/>
        <w:spacing w:before="1"/>
        <w:ind w:right="10" w:hanging="720"/>
        <w:jc w:val="both"/>
      </w:pPr>
      <w:r>
        <w:t>717.</w:t>
      </w:r>
    </w:p>
    <w:p w14:paraId="5F937167" w14:textId="77777777" w:rsidR="00203365" w:rsidRDefault="00DF4752" w:rsidP="005911D6">
      <w:pPr>
        <w:pStyle w:val="BodyText"/>
        <w:spacing w:before="1"/>
        <w:ind w:right="10" w:hanging="720"/>
        <w:jc w:val="both"/>
      </w:pPr>
      <w:r>
        <w:t xml:space="preserve">Gardner, G., Chen, R., Berry, A. (2005). “High-resolution measurements of </w:t>
      </w:r>
      <w:proofErr w:type="spellStart"/>
      <w:r>
        <w:t>chromophoric</w:t>
      </w:r>
      <w:proofErr w:type="spellEnd"/>
      <w:r>
        <w:t xml:space="preserve"> dissolved organic matter (CDOM) in the Neponset Estuary, Boston Harbor, MA.” </w:t>
      </w:r>
      <w:r w:rsidRPr="005911D6">
        <w:t>Marine Chemistry</w:t>
      </w:r>
      <w:r>
        <w:t>, 96(1): 137–154.</w:t>
      </w:r>
    </w:p>
    <w:p w14:paraId="36725E0D" w14:textId="77777777" w:rsidR="00203365" w:rsidRDefault="00DF4752" w:rsidP="005911D6">
      <w:pPr>
        <w:pStyle w:val="BodyText"/>
        <w:spacing w:before="1"/>
        <w:ind w:right="10" w:hanging="720"/>
        <w:jc w:val="both"/>
      </w:pPr>
      <w:r>
        <w:t xml:space="preserve">“Horiba PTI </w:t>
      </w:r>
      <w:proofErr w:type="spellStart"/>
      <w:r>
        <w:t>QuantaMaster</w:t>
      </w:r>
      <w:proofErr w:type="spellEnd"/>
      <w:r>
        <w:t xml:space="preserve">™ 8000 Series Fluorometers from HORIBA Scientific.” 2018. </w:t>
      </w:r>
      <w:proofErr w:type="spellStart"/>
      <w:r w:rsidRPr="005911D6">
        <w:t>LabCompare</w:t>
      </w:r>
      <w:proofErr w:type="spellEnd"/>
      <w:r>
        <w:t>. Accessed 4 November 2018.</w:t>
      </w:r>
    </w:p>
    <w:p w14:paraId="5C8EE632" w14:textId="77777777" w:rsidR="00203365" w:rsidRDefault="00DF4752" w:rsidP="005911D6">
      <w:pPr>
        <w:pStyle w:val="BodyText"/>
        <w:spacing w:before="1"/>
        <w:ind w:right="10" w:hanging="720"/>
        <w:jc w:val="both"/>
      </w:pPr>
      <w:r>
        <w:t xml:space="preserve">Huang, W., Chen, R. (2009). “Sources and transformations of </w:t>
      </w:r>
      <w:proofErr w:type="spellStart"/>
      <w:r>
        <w:t>chromophoric</w:t>
      </w:r>
      <w:proofErr w:type="spellEnd"/>
      <w:r>
        <w:t xml:space="preserve"> dissolved organic matter in the Neponset River Watershed.” Journal of Geophysical Research, </w:t>
      </w:r>
      <w:proofErr w:type="spellStart"/>
      <w:r w:rsidRPr="005911D6">
        <w:t>Biogeosciences</w:t>
      </w:r>
      <w:proofErr w:type="spellEnd"/>
      <w:r>
        <w:t>: 114(G4).</w:t>
      </w:r>
    </w:p>
    <w:p w14:paraId="71220552" w14:textId="77777777" w:rsidR="00203365" w:rsidRPr="005911D6" w:rsidRDefault="00DF4752" w:rsidP="005911D6">
      <w:pPr>
        <w:pStyle w:val="BodyText"/>
        <w:spacing w:before="1"/>
        <w:ind w:right="10" w:hanging="720"/>
        <w:jc w:val="both"/>
      </w:pPr>
      <w:r>
        <w:t xml:space="preserve">Hudson, N., Baker, A., Reynolds, D., </w:t>
      </w:r>
      <w:proofErr w:type="spellStart"/>
      <w:r>
        <w:t>Carliell-Marquet</w:t>
      </w:r>
      <w:proofErr w:type="spellEnd"/>
      <w:r>
        <w:t xml:space="preserve">, C., Ward, D. (2009). “Changes in freshwater organic matter fluorescence intensity with freezing/thawing and dehydration/ rehydration.” </w:t>
      </w:r>
      <w:r w:rsidRPr="005911D6">
        <w:t xml:space="preserve">J. </w:t>
      </w:r>
      <w:proofErr w:type="spellStart"/>
      <w:r w:rsidRPr="005911D6">
        <w:t>Geophys</w:t>
      </w:r>
      <w:proofErr w:type="spellEnd"/>
      <w:r w:rsidRPr="005911D6">
        <w:t>. Res.</w:t>
      </w:r>
    </w:p>
    <w:p w14:paraId="41330FFA" w14:textId="77777777" w:rsidR="00203365" w:rsidRDefault="00DF4752" w:rsidP="005911D6">
      <w:pPr>
        <w:pStyle w:val="BodyText"/>
        <w:spacing w:before="1"/>
        <w:ind w:right="10" w:hanging="720"/>
        <w:jc w:val="both"/>
      </w:pPr>
      <w:proofErr w:type="spellStart"/>
      <w:r w:rsidRPr="005911D6">
        <w:t>Biogeosci</w:t>
      </w:r>
      <w:proofErr w:type="spellEnd"/>
      <w:r w:rsidRPr="005911D6">
        <w:t xml:space="preserve">., </w:t>
      </w:r>
      <w:r>
        <w:t>114, G00F08, doi:10.1029/2008 JG000915.</w:t>
      </w:r>
    </w:p>
    <w:p w14:paraId="5EF8C6F4" w14:textId="77777777" w:rsidR="00203365" w:rsidRDefault="00DF4752" w:rsidP="005911D6">
      <w:pPr>
        <w:pStyle w:val="BodyText"/>
        <w:spacing w:before="1"/>
        <w:ind w:right="10" w:hanging="720"/>
        <w:jc w:val="both"/>
      </w:pPr>
      <w:r>
        <w:t xml:space="preserve">IUPAC, </w:t>
      </w:r>
      <w:hyperlink r:id="rId16">
        <w:r w:rsidRPr="005911D6">
          <w:t>Compendium of Chemical Terminology</w:t>
        </w:r>
        <w:r>
          <w:t xml:space="preserve">, </w:t>
        </w:r>
      </w:hyperlink>
      <w:r>
        <w:t>2nd ed. (the "Gold Book") (1997). Online corrected version: (2006) "Absorbance."</w:t>
      </w:r>
    </w:p>
    <w:p w14:paraId="08F57661" w14:textId="77777777" w:rsidR="00203365" w:rsidRDefault="00DF4752" w:rsidP="005911D6">
      <w:pPr>
        <w:pStyle w:val="BodyText"/>
        <w:spacing w:before="1"/>
        <w:ind w:right="10" w:hanging="720"/>
        <w:jc w:val="both"/>
      </w:pPr>
      <w:r>
        <w:t>Jiang, F., Lee, F., Wang</w:t>
      </w:r>
      <w:r w:rsidRPr="005911D6">
        <w:t xml:space="preserve">, </w:t>
      </w:r>
      <w:r>
        <w:t xml:space="preserve">X., Dai, D. (2008). </w:t>
      </w:r>
      <w:r w:rsidRPr="005911D6">
        <w:t>“</w:t>
      </w:r>
      <w:r>
        <w:t xml:space="preserve">The application of excitation/emission matrix spectroscopy combined with multivariate analysis for the characterization and source identification of dissolved organic matter in seawater of Bohai Sea, China.” </w:t>
      </w:r>
      <w:r w:rsidRPr="005911D6">
        <w:t xml:space="preserve">Mar. Chem. </w:t>
      </w:r>
      <w:r>
        <w:t>110 (1): 109-119.</w:t>
      </w:r>
    </w:p>
    <w:p w14:paraId="4BCB24C1" w14:textId="77777777" w:rsidR="00203365" w:rsidRDefault="00DF4752" w:rsidP="005911D6">
      <w:pPr>
        <w:pStyle w:val="BodyText"/>
        <w:spacing w:before="1"/>
        <w:ind w:right="10" w:hanging="720"/>
        <w:jc w:val="both"/>
      </w:pPr>
      <w:proofErr w:type="spellStart"/>
      <w:r>
        <w:t>Karabashev</w:t>
      </w:r>
      <w:proofErr w:type="spellEnd"/>
      <w:r>
        <w:t xml:space="preserve">, G., </w:t>
      </w:r>
      <w:proofErr w:type="spellStart"/>
      <w:r>
        <w:t>Khanaev</w:t>
      </w:r>
      <w:proofErr w:type="spellEnd"/>
      <w:r>
        <w:t xml:space="preserve">, S., Kuleshov, A. (1993). “On the variability of yellow substance in the Skagerrak and the Kattegat.” </w:t>
      </w:r>
      <w:proofErr w:type="spellStart"/>
      <w:r w:rsidRPr="005911D6">
        <w:t>Oceanol</w:t>
      </w:r>
      <w:proofErr w:type="spellEnd"/>
      <w:r w:rsidRPr="005911D6">
        <w:t>. Acta</w:t>
      </w:r>
      <w:r>
        <w:t>, 16: 115–125.</w:t>
      </w:r>
    </w:p>
    <w:p w14:paraId="4B4DDED3" w14:textId="77777777" w:rsidR="00203365" w:rsidRDefault="00DF4752" w:rsidP="00911EBC">
      <w:pPr>
        <w:pStyle w:val="BodyText"/>
        <w:ind w:right="10" w:hanging="721"/>
        <w:jc w:val="both"/>
      </w:pPr>
      <w:proofErr w:type="spellStart"/>
      <w:r>
        <w:t>Kieber</w:t>
      </w:r>
      <w:proofErr w:type="spellEnd"/>
      <w:r>
        <w:t xml:space="preserve">, R. J., </w:t>
      </w:r>
      <w:proofErr w:type="spellStart"/>
      <w:r>
        <w:t>Skrabal</w:t>
      </w:r>
      <w:proofErr w:type="spellEnd"/>
      <w:r>
        <w:t>, S. A., Smith, C., Willey, J. D. (2004) “Redox speciation of copper in rainwater:</w:t>
      </w:r>
      <w:r>
        <w:rPr>
          <w:spacing w:val="-13"/>
        </w:rPr>
        <w:t xml:space="preserve"> </w:t>
      </w:r>
      <w:r>
        <w:t xml:space="preserve">Temporal variability and atmospheric deposition.” </w:t>
      </w:r>
      <w:r>
        <w:rPr>
          <w:i/>
        </w:rPr>
        <w:t>Environ. Sci. Technol</w:t>
      </w:r>
      <w:r>
        <w:t>., 38:</w:t>
      </w:r>
      <w:r>
        <w:rPr>
          <w:spacing w:val="-2"/>
        </w:rPr>
        <w:t xml:space="preserve"> </w:t>
      </w:r>
      <w:r>
        <w:t>3587–3594.</w:t>
      </w:r>
    </w:p>
    <w:p w14:paraId="056A0EE9" w14:textId="77777777" w:rsidR="00203365" w:rsidRDefault="00DF4752" w:rsidP="00911EBC">
      <w:pPr>
        <w:pStyle w:val="BodyText"/>
        <w:ind w:right="10" w:hanging="721"/>
        <w:jc w:val="both"/>
      </w:pPr>
      <w:r>
        <w:t xml:space="preserve">Lomas, M., </w:t>
      </w:r>
      <w:proofErr w:type="spellStart"/>
      <w:r>
        <w:t>Glibert</w:t>
      </w:r>
      <w:proofErr w:type="spellEnd"/>
      <w:r>
        <w:t xml:space="preserve">, P., Clougherty, D., Huber, D., Jones, J., Alexander, J., </w:t>
      </w:r>
      <w:proofErr w:type="spellStart"/>
      <w:r>
        <w:t>Harmoto</w:t>
      </w:r>
      <w:proofErr w:type="spellEnd"/>
      <w:r>
        <w:t xml:space="preserve">, E. (2001). “Elevated organic nutrient ratios associated with brown tide algal blooms of </w:t>
      </w:r>
      <w:proofErr w:type="spellStart"/>
      <w:r>
        <w:rPr>
          <w:i/>
        </w:rPr>
        <w:t>Aureococc</w:t>
      </w:r>
      <w:r w:rsidR="00911EBC">
        <w:rPr>
          <w:i/>
        </w:rPr>
        <w:t>us</w:t>
      </w:r>
      <w:proofErr w:type="spellEnd"/>
      <w:r w:rsidR="00911EBC">
        <w:rPr>
          <w:i/>
        </w:rPr>
        <w:t xml:space="preserve"> </w:t>
      </w:r>
      <w:proofErr w:type="spellStart"/>
      <w:r w:rsidR="00911EBC">
        <w:rPr>
          <w:i/>
        </w:rPr>
        <w:t>anophagefferens</w:t>
      </w:r>
      <w:proofErr w:type="spellEnd"/>
      <w:r w:rsidR="00911EBC">
        <w:rPr>
          <w:i/>
        </w:rPr>
        <w:t>.</w:t>
      </w:r>
    </w:p>
    <w:p w14:paraId="50CAB458" w14:textId="77777777" w:rsidR="00203365" w:rsidRDefault="00DF4752" w:rsidP="00911EBC">
      <w:pPr>
        <w:pStyle w:val="BodyText"/>
        <w:spacing w:before="1"/>
        <w:ind w:right="10" w:hanging="720"/>
        <w:jc w:val="both"/>
        <w:rPr>
          <w:i/>
        </w:rPr>
      </w:pPr>
      <w:r>
        <w:t xml:space="preserve">Moran, M., Sheldon, W., </w:t>
      </w:r>
      <w:proofErr w:type="spellStart"/>
      <w:r>
        <w:t>Zepp</w:t>
      </w:r>
      <w:proofErr w:type="spellEnd"/>
      <w:r>
        <w:t xml:space="preserve">, R. (2000). “Carbon loss and optical property changes during long-term photochemical and biological degradation of estuarine dissolved organic matter.” </w:t>
      </w:r>
      <w:proofErr w:type="spellStart"/>
      <w:r>
        <w:rPr>
          <w:i/>
        </w:rPr>
        <w:t>Limnol</w:t>
      </w:r>
      <w:proofErr w:type="spellEnd"/>
      <w:r>
        <w:rPr>
          <w:i/>
        </w:rPr>
        <w:t>.</w:t>
      </w:r>
    </w:p>
    <w:p w14:paraId="0B757A8D" w14:textId="77777777" w:rsidR="00203365" w:rsidRDefault="00DF4752" w:rsidP="00911EBC">
      <w:pPr>
        <w:spacing w:line="207" w:lineRule="exact"/>
        <w:ind w:left="860"/>
        <w:jc w:val="both"/>
        <w:rPr>
          <w:sz w:val="18"/>
        </w:rPr>
      </w:pPr>
      <w:proofErr w:type="spellStart"/>
      <w:r>
        <w:rPr>
          <w:i/>
          <w:sz w:val="18"/>
        </w:rPr>
        <w:t>Oceanogr</w:t>
      </w:r>
      <w:proofErr w:type="spellEnd"/>
      <w:r>
        <w:rPr>
          <w:sz w:val="18"/>
        </w:rPr>
        <w:t>., 45: 1254–1264.</w:t>
      </w:r>
    </w:p>
    <w:p w14:paraId="34EB19E3" w14:textId="77777777" w:rsidR="00203365" w:rsidRDefault="00DF4752" w:rsidP="00911EBC">
      <w:pPr>
        <w:pStyle w:val="BodyText"/>
        <w:spacing w:before="1"/>
        <w:ind w:right="10" w:hanging="720"/>
        <w:jc w:val="both"/>
      </w:pPr>
      <w:r>
        <w:t xml:space="preserve">Mueller, J., Austin, W, (1995). “Ocean Optics Protocols for </w:t>
      </w:r>
      <w:proofErr w:type="spellStart"/>
      <w:r>
        <w:t>SeaWiFS</w:t>
      </w:r>
      <w:proofErr w:type="spellEnd"/>
      <w:r>
        <w:t xml:space="preserve"> Validation, Revision 1.” NASA Tech. Memo. 104566, Vol. 25. S. Hooker, </w:t>
      </w:r>
      <w:proofErr w:type="spellStart"/>
      <w:r>
        <w:t>E.Firestone</w:t>
      </w:r>
      <w:proofErr w:type="spellEnd"/>
      <w:r>
        <w:t>, J. Acker, Eds., NASA Goddard Space Flight Center, Greenbelt, Maryland, 67 pp.</w:t>
      </w:r>
    </w:p>
    <w:p w14:paraId="3A4CE8D1" w14:textId="77777777" w:rsidR="00203365" w:rsidRDefault="00DF4752" w:rsidP="005911D6">
      <w:pPr>
        <w:pStyle w:val="BodyText"/>
        <w:spacing w:before="1"/>
        <w:ind w:right="10" w:hanging="720"/>
        <w:jc w:val="both"/>
      </w:pPr>
      <w:r>
        <w:t>Nelson, N., Siegel, D., Michaels, A. (1998). “Seasonal dynamics of colored dissolved material in</w:t>
      </w:r>
      <w:r w:rsidR="005911D6">
        <w:t xml:space="preserve"> </w:t>
      </w:r>
      <w:r>
        <w:t xml:space="preserve">the Sargasso Sea.” </w:t>
      </w:r>
      <w:r w:rsidRPr="00911EBC">
        <w:t>Deep Sea Res I</w:t>
      </w:r>
      <w:r>
        <w:t xml:space="preserve">, 45: 931-957. </w:t>
      </w:r>
    </w:p>
    <w:p w14:paraId="338C5B1D" w14:textId="77777777" w:rsidR="00203365" w:rsidRDefault="00DF4752" w:rsidP="00911EBC">
      <w:pPr>
        <w:pStyle w:val="BodyText"/>
        <w:spacing w:before="1"/>
        <w:ind w:right="10" w:hanging="720"/>
        <w:jc w:val="both"/>
      </w:pPr>
      <w:proofErr w:type="spellStart"/>
      <w:r w:rsidRPr="00911EBC">
        <w:t>Olmanson</w:t>
      </w:r>
      <w:proofErr w:type="spellEnd"/>
      <w:r w:rsidRPr="00911EBC">
        <w:t xml:space="preserve">, L., </w:t>
      </w:r>
      <w:proofErr w:type="spellStart"/>
      <w:r w:rsidRPr="00911EBC">
        <w:t>Brezonik</w:t>
      </w:r>
      <w:proofErr w:type="spellEnd"/>
      <w:r w:rsidRPr="00911EBC">
        <w:t xml:space="preserve">, P., Finlay, J., Bauer, M. (2016). </w:t>
      </w:r>
      <w:r>
        <w:t xml:space="preserve">“Comparison of Landsat 8 and Landsat 7 for regional measurements of CDOM and water clarity in lakes.” </w:t>
      </w:r>
      <w:r w:rsidRPr="00911EBC">
        <w:t>Remote Sensing of Environment</w:t>
      </w:r>
      <w:r>
        <w:t>, 185: 119–128.</w:t>
      </w:r>
    </w:p>
    <w:p w14:paraId="2A90426D" w14:textId="77777777" w:rsidR="00203365" w:rsidRDefault="00DF4752" w:rsidP="005911D6">
      <w:pPr>
        <w:pStyle w:val="BodyText"/>
        <w:spacing w:before="1"/>
        <w:ind w:right="10" w:hanging="720"/>
        <w:jc w:val="both"/>
      </w:pPr>
      <w:r>
        <w:t xml:space="preserve">Peacock, T., Carder, K., Coble, P., Lee, Z., Hawes, S. (1994). “Long-path spectrometer for measuring </w:t>
      </w:r>
      <w:proofErr w:type="spellStart"/>
      <w:r>
        <w:t>gelbstoff</w:t>
      </w:r>
      <w:proofErr w:type="spellEnd"/>
      <w:r>
        <w:t xml:space="preserve"> absorption in clear waters”. </w:t>
      </w:r>
      <w:r w:rsidRPr="00911EBC">
        <w:t>Eos Trans. Am.</w:t>
      </w:r>
      <w:r w:rsidR="005911D6">
        <w:t xml:space="preserve"> </w:t>
      </w:r>
      <w:proofErr w:type="spellStart"/>
      <w:r w:rsidRPr="00911EBC">
        <w:t>Geophys</w:t>
      </w:r>
      <w:proofErr w:type="spellEnd"/>
      <w:r>
        <w:t>. Union 75: 22.</w:t>
      </w:r>
    </w:p>
    <w:p w14:paraId="7B510FBC" w14:textId="77777777" w:rsidR="00203365" w:rsidRDefault="00DF4752" w:rsidP="00911EBC">
      <w:pPr>
        <w:pStyle w:val="BodyText"/>
        <w:spacing w:before="1"/>
        <w:ind w:right="10" w:hanging="720"/>
        <w:jc w:val="both"/>
      </w:pPr>
      <w:r>
        <w:t xml:space="preserve">Redfield, A. (1972). “Development of a New England salt marsh.” </w:t>
      </w:r>
      <w:r w:rsidRPr="00911EBC">
        <w:t>Ecological Monographs</w:t>
      </w:r>
      <w:r>
        <w:t>, 42(2): 201–237.</w:t>
      </w:r>
    </w:p>
    <w:p w14:paraId="6FD58BB7" w14:textId="77777777" w:rsidR="00911EBC" w:rsidRDefault="00DF4752" w:rsidP="00911EBC">
      <w:pPr>
        <w:pStyle w:val="BodyText"/>
        <w:spacing w:before="1"/>
        <w:ind w:right="10" w:hanging="720"/>
        <w:jc w:val="both"/>
      </w:pPr>
      <w:proofErr w:type="spellStart"/>
      <w:r>
        <w:t>Schiebel</w:t>
      </w:r>
      <w:proofErr w:type="spellEnd"/>
      <w:r>
        <w:t>, H., Gardner, G., Wang, X., Peri, F., Chen, R. (2018). “Seasonal Export of Dissolved</w:t>
      </w:r>
      <w:r w:rsidR="00911EBC">
        <w:t xml:space="preserve">. </w:t>
      </w:r>
    </w:p>
    <w:p w14:paraId="6E5DE563" w14:textId="77777777" w:rsidR="00203365" w:rsidRPr="00911EBC" w:rsidRDefault="00DF4752" w:rsidP="00911EBC">
      <w:pPr>
        <w:pStyle w:val="BodyText"/>
        <w:spacing w:before="1"/>
        <w:ind w:right="10" w:hanging="720"/>
        <w:jc w:val="both"/>
      </w:pPr>
      <w:proofErr w:type="spellStart"/>
      <w:r w:rsidRPr="00911EBC">
        <w:t>Tedetti</w:t>
      </w:r>
      <w:proofErr w:type="spellEnd"/>
      <w:r w:rsidRPr="00911EBC">
        <w:t xml:space="preserve">, M., Joffre, P., </w:t>
      </w:r>
      <w:proofErr w:type="spellStart"/>
      <w:r w:rsidRPr="00911EBC">
        <w:t>Goutx</w:t>
      </w:r>
      <w:proofErr w:type="spellEnd"/>
      <w:r w:rsidRPr="00911EBC">
        <w:t xml:space="preserve">, M. (2013). </w:t>
      </w:r>
      <w:r>
        <w:t xml:space="preserve">“Development of a field-portable fluorometer based on deep ultraviolet LEDs for the detection of phenanthrene-and tryptophan-like compounds in natural waters.” </w:t>
      </w:r>
      <w:r w:rsidRPr="00911EBC">
        <w:t>Sens. Actuators B Chem.</w:t>
      </w:r>
    </w:p>
    <w:p w14:paraId="2335F530" w14:textId="77777777" w:rsidR="00203365" w:rsidRDefault="00DF4752" w:rsidP="005911D6">
      <w:pPr>
        <w:pStyle w:val="BodyText"/>
        <w:spacing w:before="1"/>
        <w:ind w:right="10" w:hanging="720"/>
        <w:jc w:val="both"/>
      </w:pPr>
      <w:r>
        <w:t>Thurman, E. M. (1983). “Determination of aquatic</w:t>
      </w:r>
      <w:r w:rsidRPr="005911D6">
        <w:t xml:space="preserve"> </w:t>
      </w:r>
      <w:proofErr w:type="spellStart"/>
      <w:r>
        <w:t>humic</w:t>
      </w:r>
      <w:proofErr w:type="spellEnd"/>
      <w:r>
        <w:t xml:space="preserve"> substances in natural waters.” U.S. Geol. </w:t>
      </w:r>
      <w:proofErr w:type="spellStart"/>
      <w:r>
        <w:t>Surv</w:t>
      </w:r>
      <w:proofErr w:type="spellEnd"/>
      <w:r>
        <w:t xml:space="preserve">. Paper </w:t>
      </w:r>
      <w:proofErr w:type="spellStart"/>
      <w:r>
        <w:t>Hydrol</w:t>
      </w:r>
      <w:proofErr w:type="spellEnd"/>
      <w:r>
        <w:t>. Sci. W2262:</w:t>
      </w:r>
      <w:r w:rsidRPr="005911D6">
        <w:t xml:space="preserve"> </w:t>
      </w:r>
      <w:r>
        <w:t>47–52.</w:t>
      </w:r>
    </w:p>
    <w:p w14:paraId="680BED67" w14:textId="77777777" w:rsidR="005911D6" w:rsidRDefault="00DF4752" w:rsidP="005911D6">
      <w:pPr>
        <w:pStyle w:val="BodyText"/>
        <w:spacing w:before="1"/>
        <w:ind w:right="10" w:hanging="720"/>
        <w:jc w:val="both"/>
      </w:pPr>
      <w:r>
        <w:t xml:space="preserve">Williams, D. (2002). “Population ecology of bleaching- stressed </w:t>
      </w:r>
      <w:proofErr w:type="spellStart"/>
      <w:r>
        <w:t>Amphistegina</w:t>
      </w:r>
      <w:proofErr w:type="spellEnd"/>
      <w:r>
        <w:t xml:space="preserve"> </w:t>
      </w:r>
      <w:proofErr w:type="spellStart"/>
      <w:r>
        <w:t>gibbosa</w:t>
      </w:r>
      <w:proofErr w:type="spellEnd"/>
      <w:r>
        <w:t xml:space="preserve"> in the Florida Keys (1991-1999): influence of solar radiation on reef- dwelling foraminifera.” Ph.D. </w:t>
      </w:r>
      <w:proofErr w:type="spellStart"/>
      <w:r>
        <w:t>Dissertation.University</w:t>
      </w:r>
      <w:proofErr w:type="spellEnd"/>
      <w:r>
        <w:t xml:space="preserve"> of South Florida. St. </w:t>
      </w:r>
      <w:proofErr w:type="spellStart"/>
      <w:r>
        <w:t>Petersbourg</w:t>
      </w:r>
      <w:proofErr w:type="spellEnd"/>
      <w:r>
        <w:t>.</w:t>
      </w:r>
    </w:p>
    <w:p w14:paraId="2C9F86C0" w14:textId="77777777" w:rsidR="00203365" w:rsidRDefault="00DF4752" w:rsidP="005911D6">
      <w:pPr>
        <w:pStyle w:val="BodyText"/>
        <w:spacing w:before="1"/>
        <w:ind w:right="10" w:hanging="720"/>
        <w:jc w:val="both"/>
      </w:pPr>
      <w:r w:rsidRPr="005911D6">
        <w:rPr>
          <w:lang w:val="fr-BE"/>
        </w:rPr>
        <w:t xml:space="preserve">Zhang, Y., Qin, B., Zhu, G., Zhang, L., Yang, L. (2007). </w:t>
      </w:r>
      <w:r>
        <w:t>“</w:t>
      </w:r>
      <w:proofErr w:type="spellStart"/>
      <w:r>
        <w:t>Chromophoric</w:t>
      </w:r>
      <w:proofErr w:type="spellEnd"/>
      <w:r>
        <w:t xml:space="preserve"> dissolved organic matter (CDOM) absorption characteristics in relation to fluorescence in Lake </w:t>
      </w:r>
      <w:proofErr w:type="spellStart"/>
      <w:r>
        <w:t>Taihu</w:t>
      </w:r>
      <w:proofErr w:type="spellEnd"/>
      <w:r>
        <w:t xml:space="preserve">, China, a large shallow subtropical lake.” </w:t>
      </w:r>
      <w:proofErr w:type="spellStart"/>
      <w:r w:rsidRPr="005911D6">
        <w:t>Hydrobiologia</w:t>
      </w:r>
      <w:proofErr w:type="spellEnd"/>
      <w:r>
        <w:t>, 581(1): 43-52.</w:t>
      </w:r>
    </w:p>
    <w:sectPr w:rsidR="00203365">
      <w:footerReference w:type="default" r:id="rId17"/>
      <w:pgSz w:w="12240" w:h="15840"/>
      <w:pgMar w:top="1340" w:right="1120" w:bottom="1160" w:left="1300" w:header="720" w:footer="971" w:gutter="0"/>
      <w:cols w:num="2" w:space="720" w:equalWidth="0">
        <w:col w:w="4675" w:space="186"/>
        <w:col w:w="495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817CB0" w14:textId="77777777" w:rsidR="000469E7" w:rsidRDefault="000469E7">
      <w:r>
        <w:separator/>
      </w:r>
    </w:p>
  </w:endnote>
  <w:endnote w:type="continuationSeparator" w:id="0">
    <w:p w14:paraId="43458C72" w14:textId="77777777" w:rsidR="000469E7" w:rsidRDefault="00046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4B8E7" w14:textId="77777777" w:rsidR="00DF4752" w:rsidRDefault="00542FE1">
    <w:pPr>
      <w:pStyle w:val="BodyText"/>
      <w:spacing w:line="14" w:lineRule="auto"/>
      <w:ind w:left="0"/>
      <w:rPr>
        <w:sz w:val="20"/>
      </w:rPr>
    </w:pPr>
    <w:r>
      <w:rPr>
        <w:noProof/>
        <w:lang w:bidi="ar-SA"/>
      </w:rPr>
      <mc:AlternateContent>
        <mc:Choice Requires="wps">
          <w:drawing>
            <wp:anchor distT="0" distB="0" distL="114300" distR="114300" simplePos="0" relativeHeight="503308688" behindDoc="1" locked="0" layoutInCell="1" allowOverlap="1" wp14:anchorId="7E05DD5A" wp14:editId="4209BD81">
              <wp:simplePos x="0" y="0"/>
              <wp:positionH relativeFrom="page">
                <wp:posOffset>901700</wp:posOffset>
              </wp:positionH>
              <wp:positionV relativeFrom="page">
                <wp:posOffset>9302115</wp:posOffset>
              </wp:positionV>
              <wp:extent cx="829310" cy="152400"/>
              <wp:effectExtent l="0" t="0" r="2540" b="381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93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6CA51" w14:textId="77777777" w:rsidR="00DF4752" w:rsidRDefault="00DF4752">
                          <w:pPr>
                            <w:pStyle w:val="BodyText"/>
                            <w:spacing w:before="12"/>
                            <w:ind w:left="20"/>
                          </w:pPr>
                          <w:r>
                            <w:t>ISSN: 2167-1907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71pt;margin-top:732.45pt;width:65.3pt;height:12pt;z-index:-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" filled="f" stroked="f">
              <v:textbox inset="0,0,0,0">
                <w:txbxContent>
                  <w:p w:rsidR="00DF4752" w:rsidRDefault="00DF4752">
                    <w:pPr>
                      <w:pStyle w:val="BodyText"/>
                      <w:spacing w:before="12"/>
                      <w:ind w:left="20"/>
                    </w:pPr>
                    <w:r>
                      <w:t>ISSN: 2167-1907</w:t>
                    </w:r>
                  </w:p>
                </w:txbxContent>
              </v:textbox>
              <w10:wrap anchorx="page" anchory="page"/>
            </v:shape>
          </w:pict>
        </mc:Fallback>
      </mc:AlternateContent>
    </w:r>
    <w:r>
      <w:rPr>
        <w:noProof/>
        <w:lang w:bidi="ar-SA"/>
      </w:rPr>
      <mc:AlternateContent>
        <mc:Choice Requires="wps">
          <w:drawing>
            <wp:anchor distT="0" distB="0" distL="114300" distR="114300" simplePos="0" relativeHeight="503308712" behindDoc="1" locked="0" layoutInCell="1" allowOverlap="1" wp14:anchorId="0AB7E8CA" wp14:editId="4C6A4893">
              <wp:simplePos x="0" y="0"/>
              <wp:positionH relativeFrom="page">
                <wp:posOffset>3542030</wp:posOffset>
              </wp:positionH>
              <wp:positionV relativeFrom="page">
                <wp:posOffset>9302115</wp:posOffset>
              </wp:positionV>
              <wp:extent cx="692150" cy="152400"/>
              <wp:effectExtent l="0" t="0" r="4445" b="381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A73AC" w14:textId="77777777" w:rsidR="00DF4752" w:rsidRDefault="000469E7">
                          <w:pPr>
                            <w:pStyle w:val="BodyText"/>
                            <w:spacing w:before="12"/>
                            <w:ind w:left="20"/>
                          </w:pPr>
                          <w:hyperlink r:id="rId1">
                            <w:r w:rsidR="00DF4752">
                              <w:t>www.jofsr.org</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78.9pt;margin-top:732.45pt;width:54.5pt;height:12pt;z-index:-7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" filled="f" stroked="f">
              <v:textbox inset="0,0,0,0">
                <w:txbxContent>
                  <w:p w:rsidR="00DF4752" w:rsidRDefault="00DF4752">
                    <w:pPr>
                      <w:pStyle w:val="BodyText"/>
                      <w:spacing w:before="12"/>
                      <w:ind w:left="20"/>
                    </w:pPr>
                    <w:hyperlink r:id="rId2">
                      <w:r>
                        <w:t>www.jofsr.org</w:t>
                      </w:r>
                    </w:hyperlink>
                  </w:p>
                </w:txbxContent>
              </v:textbox>
              <w10:wrap anchorx="page" anchory="page"/>
            </v:shape>
          </w:pict>
        </mc:Fallback>
      </mc:AlternateContent>
    </w:r>
    <w:r>
      <w:rPr>
        <w:noProof/>
        <w:lang w:bidi="ar-SA"/>
      </w:rPr>
      <mc:AlternateContent>
        <mc:Choice Requires="wps">
          <w:drawing>
            <wp:anchor distT="0" distB="0" distL="114300" distR="114300" simplePos="0" relativeHeight="503308736" behindDoc="1" locked="0" layoutInCell="1" allowOverlap="1" wp14:anchorId="246F1C46" wp14:editId="559C8058">
              <wp:simplePos x="0" y="0"/>
              <wp:positionH relativeFrom="page">
                <wp:posOffset>6719570</wp:posOffset>
              </wp:positionH>
              <wp:positionV relativeFrom="page">
                <wp:posOffset>9302115</wp:posOffset>
              </wp:positionV>
              <wp:extent cx="167005" cy="152400"/>
              <wp:effectExtent l="4445"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2C0F69" w14:textId="77777777" w:rsidR="00DF4752" w:rsidRDefault="00DF4752">
                          <w:pPr>
                            <w:pStyle w:val="BodyText"/>
                            <w:spacing w:before="12"/>
                            <w:ind w:left="40"/>
                          </w:pPr>
                          <w:r>
                            <w:fldChar w:fldCharType="begin"/>
                          </w:r>
                          <w:r>
                            <w:instrText xml:space="preserve"> PAGE </w:instrText>
                          </w:r>
                          <w:r>
                            <w:fldChar w:fldCharType="separate"/>
                          </w:r>
                          <w:r w:rsidR="00C0148F">
                            <w:rPr>
                              <w:noProof/>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529.1pt;margin-top:732.45pt;width:13.15pt;height:12pt;z-index:-7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" filled="f" stroked="f">
              <v:textbox inset="0,0,0,0">
                <w:txbxContent>
                  <w:p w:rsidR="00DF4752" w:rsidRDefault="00DF4752">
                    <w:pPr>
                      <w:pStyle w:val="BodyText"/>
                      <w:spacing w:before="12"/>
                      <w:ind w:left="40"/>
                    </w:pPr>
                    <w:r>
                      <w:fldChar w:fldCharType="begin"/>
                    </w:r>
                    <w:r>
                      <w:instrText xml:space="preserve"> PAGE </w:instrText>
                    </w:r>
                    <w:r>
                      <w:fldChar w:fldCharType="separate"/>
                    </w:r>
                    <w:r w:rsidR="00C0148F">
                      <w:rPr>
                        <w:noProof/>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C024DA" w14:textId="77777777" w:rsidR="000469E7" w:rsidRDefault="000469E7">
      <w:r>
        <w:separator/>
      </w:r>
    </w:p>
  </w:footnote>
  <w:footnote w:type="continuationSeparator" w:id="0">
    <w:p w14:paraId="7139BFD3" w14:textId="77777777" w:rsidR="000469E7" w:rsidRDefault="000469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3EEF2" w14:textId="77777777" w:rsidR="00DF4752" w:rsidRDefault="00542FE1">
    <w:pPr>
      <w:pStyle w:val="BodyText"/>
      <w:spacing w:line="14" w:lineRule="auto"/>
      <w:ind w:left="0"/>
      <w:rPr>
        <w:sz w:val="20"/>
      </w:rPr>
    </w:pPr>
    <w:r>
      <w:rPr>
        <w:noProof/>
        <w:lang w:bidi="ar-SA"/>
      </w:rPr>
      <mc:AlternateContent>
        <mc:Choice Requires="wps">
          <w:drawing>
            <wp:anchor distT="0" distB="0" distL="114300" distR="114300" simplePos="0" relativeHeight="503308664" behindDoc="1" locked="0" layoutInCell="1" allowOverlap="1" wp14:anchorId="6C7E8C8E" wp14:editId="4DE32762">
              <wp:simplePos x="0" y="0"/>
              <wp:positionH relativeFrom="page">
                <wp:posOffset>1132205</wp:posOffset>
              </wp:positionH>
              <wp:positionV relativeFrom="page">
                <wp:posOffset>665480</wp:posOffset>
              </wp:positionV>
              <wp:extent cx="1372235" cy="152400"/>
              <wp:effectExtent l="0" t="0" r="635"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F4A4C8" w14:textId="77777777" w:rsidR="00DF4752" w:rsidRDefault="00DF4752" w:rsidP="00C0148F">
                          <w:pPr>
                            <w:pStyle w:val="BodyText"/>
                            <w:spacing w:before="12"/>
                            <w:ind w:left="20"/>
                          </w:pPr>
                          <w:r>
                            <w:t>Research Article (</w:t>
                          </w:r>
                          <w:r w:rsidR="00C0148F">
                            <w:t>2020</w:t>
                          </w:r>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89.15pt;margin-top:52.4pt;width:108.05pt;height:12pt;z-index:-7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WsfrgIAAKo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" filled="f" stroked="f">
              <v:textbox inset="0,0,0,0">
                <w:txbxContent>
                  <w:p w:rsidR="00DF4752" w:rsidRDefault="00DF4752" w:rsidP="00C0148F">
                    <w:pPr>
                      <w:pStyle w:val="BodyText"/>
                      <w:spacing w:before="12"/>
                      <w:ind w:left="20"/>
                    </w:pPr>
                    <w:r>
                      <w:t>Research Article (</w:t>
                    </w:r>
                    <w:r w:rsidR="00C0148F">
                      <w:t>2020</w:t>
                    </w:r>
                    <w:r>
                      <w:t>)</w:t>
                    </w:r>
                  </w:p>
                </w:txbxContent>
              </v:textbox>
              <w10:wrap anchorx="page" anchory="page"/>
            </v:shape>
          </w:pict>
        </mc:Fallback>
      </mc:AlternateContent>
    </w:r>
    <w:r>
      <w:rPr>
        <w:noProof/>
        <w:lang w:bidi="ar-SA"/>
      </w:rPr>
      <mc:AlternateContent>
        <mc:Choice Requires="wps">
          <w:drawing>
            <wp:anchor distT="0" distB="0" distL="114300" distR="114300" simplePos="0" relativeHeight="503308640" behindDoc="1" locked="0" layoutInCell="1" allowOverlap="1" wp14:anchorId="1E6AC7ED" wp14:editId="0184831A">
              <wp:simplePos x="0" y="0"/>
              <wp:positionH relativeFrom="page">
                <wp:posOffset>5541645</wp:posOffset>
              </wp:positionH>
              <wp:positionV relativeFrom="page">
                <wp:posOffset>534670</wp:posOffset>
              </wp:positionV>
              <wp:extent cx="1544955" cy="152400"/>
              <wp:effectExtent l="0" t="127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95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087C31" w14:textId="77777777" w:rsidR="00DF4752" w:rsidRDefault="00DF4752" w:rsidP="005E4003">
                          <w:pPr>
                            <w:pStyle w:val="BodyText"/>
                            <w:spacing w:before="12"/>
                            <w:ind w:left="20"/>
                          </w:pPr>
                          <w:r>
                            <w:t>Volume XX: Issue X; pp 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436.35pt;margin-top:42.1pt;width:121.65pt;height:12pt;z-index:-7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" filled="f" stroked="f">
              <v:textbox inset="0,0,0,0">
                <w:txbxContent>
                  <w:p w:rsidR="00DF4752" w:rsidRDefault="00DF4752" w:rsidP="005E4003">
                    <w:pPr>
                      <w:pStyle w:val="BodyText"/>
                      <w:spacing w:before="12"/>
                      <w:ind w:left="20"/>
                    </w:pPr>
                    <w:r>
                      <w:t>Volume XX: Issue X; pp X-X</w:t>
                    </w:r>
                  </w:p>
                </w:txbxContent>
              </v:textbox>
              <w10:wrap anchorx="page" anchory="page"/>
            </v:shape>
          </w:pict>
        </mc:Fallback>
      </mc:AlternateContent>
    </w:r>
    <w:r w:rsidR="00DF4752">
      <w:rPr>
        <w:noProof/>
        <w:lang w:bidi="ar-SA"/>
      </w:rPr>
      <w:drawing>
        <wp:anchor distT="0" distB="0" distL="0" distR="0" simplePos="0" relativeHeight="251658240" behindDoc="1" locked="0" layoutInCell="1" allowOverlap="1" wp14:anchorId="53A6322B" wp14:editId="29DF7E87">
          <wp:simplePos x="0" y="0"/>
          <wp:positionH relativeFrom="page">
            <wp:posOffset>914400</wp:posOffset>
          </wp:positionH>
          <wp:positionV relativeFrom="page">
            <wp:posOffset>457200</wp:posOffset>
          </wp:positionV>
          <wp:extent cx="1331087" cy="19177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31087" cy="1917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D65A2"/>
    <w:multiLevelType w:val="multilevel"/>
    <w:tmpl w:val="82F8C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365"/>
    <w:rsid w:val="000469E7"/>
    <w:rsid w:val="00203365"/>
    <w:rsid w:val="00447B62"/>
    <w:rsid w:val="00542FE1"/>
    <w:rsid w:val="005911D6"/>
    <w:rsid w:val="005E4003"/>
    <w:rsid w:val="00911EBC"/>
    <w:rsid w:val="00A16C68"/>
    <w:rsid w:val="00B946F6"/>
    <w:rsid w:val="00C0148F"/>
    <w:rsid w:val="00C93076"/>
    <w:rsid w:val="00D0120D"/>
    <w:rsid w:val="00DF47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11DEC2"/>
  <w15:docId w15:val="{822EFDA7-5804-4CC7-8A5E-DF3AF61CB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line="207" w:lineRule="exact"/>
      <w:ind w:left="140"/>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60"/>
    </w:pPr>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E4003"/>
    <w:pPr>
      <w:tabs>
        <w:tab w:val="center" w:pos="4680"/>
        <w:tab w:val="right" w:pos="9360"/>
      </w:tabs>
    </w:pPr>
  </w:style>
  <w:style w:type="character" w:customStyle="1" w:styleId="HeaderChar">
    <w:name w:val="Header Char"/>
    <w:basedOn w:val="DefaultParagraphFont"/>
    <w:link w:val="Header"/>
    <w:uiPriority w:val="99"/>
    <w:rsid w:val="005E4003"/>
    <w:rPr>
      <w:rFonts w:ascii="Times New Roman" w:eastAsia="Times New Roman" w:hAnsi="Times New Roman" w:cs="Times New Roman"/>
      <w:lang w:bidi="en-US"/>
    </w:rPr>
  </w:style>
  <w:style w:type="paragraph" w:styleId="Footer">
    <w:name w:val="footer"/>
    <w:basedOn w:val="Normal"/>
    <w:link w:val="FooterChar"/>
    <w:uiPriority w:val="99"/>
    <w:unhideWhenUsed/>
    <w:rsid w:val="005E4003"/>
    <w:pPr>
      <w:tabs>
        <w:tab w:val="center" w:pos="4680"/>
        <w:tab w:val="right" w:pos="9360"/>
      </w:tabs>
    </w:pPr>
  </w:style>
  <w:style w:type="character" w:customStyle="1" w:styleId="FooterChar">
    <w:name w:val="Footer Char"/>
    <w:basedOn w:val="DefaultParagraphFont"/>
    <w:link w:val="Footer"/>
    <w:uiPriority w:val="99"/>
    <w:rsid w:val="005E4003"/>
    <w:rPr>
      <w:rFonts w:ascii="Times New Roman" w:eastAsia="Times New Roman" w:hAnsi="Times New Roman" w:cs="Times New Roman"/>
      <w:lang w:bidi="en-US"/>
    </w:rPr>
  </w:style>
  <w:style w:type="paragraph" w:styleId="NormalWeb">
    <w:name w:val="Normal (Web)"/>
    <w:basedOn w:val="Normal"/>
    <w:uiPriority w:val="99"/>
    <w:semiHidden/>
    <w:unhideWhenUsed/>
    <w:rsid w:val="00D0120D"/>
    <w:pPr>
      <w:widowControl/>
      <w:autoSpaceDE/>
      <w:autoSpaceDN/>
      <w:spacing w:before="100" w:beforeAutospacing="1" w:after="100" w:afterAutospacing="1"/>
    </w:pPr>
    <w:rPr>
      <w:sz w:val="24"/>
      <w:szCs w:val="24"/>
      <w:lang w:bidi="ar-SA"/>
    </w:rPr>
  </w:style>
  <w:style w:type="table" w:styleId="TableGrid">
    <w:name w:val="Table Grid"/>
    <w:basedOn w:val="TableNormal"/>
    <w:uiPriority w:val="39"/>
    <w:rsid w:val="00D01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085034">
      <w:bodyDiv w:val="1"/>
      <w:marLeft w:val="0"/>
      <w:marRight w:val="0"/>
      <w:marTop w:val="0"/>
      <w:marBottom w:val="0"/>
      <w:divBdr>
        <w:top w:val="none" w:sz="0" w:space="0" w:color="auto"/>
        <w:left w:val="none" w:sz="0" w:space="0" w:color="auto"/>
        <w:bottom w:val="none" w:sz="0" w:space="0" w:color="auto"/>
        <w:right w:val="none" w:sz="0" w:space="0" w:color="auto"/>
      </w:divBdr>
    </w:div>
    <w:div w:id="757870940">
      <w:bodyDiv w:val="1"/>
      <w:marLeft w:val="0"/>
      <w:marRight w:val="0"/>
      <w:marTop w:val="0"/>
      <w:marBottom w:val="0"/>
      <w:divBdr>
        <w:top w:val="none" w:sz="0" w:space="0" w:color="auto"/>
        <w:left w:val="none" w:sz="0" w:space="0" w:color="auto"/>
        <w:bottom w:val="none" w:sz="0" w:space="0" w:color="auto"/>
        <w:right w:val="none" w:sz="0" w:space="0" w:color="auto"/>
      </w:divBdr>
    </w:div>
    <w:div w:id="12192434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macfarland@su.suffolk.edu" TargetMode="External"/><Relationship Id="rId13" Type="http://schemas.openxmlformats.org/officeDocument/2006/relationships/hyperlink" Target="https://aslopubs.onlinelibrary.wiley.com/action/doSearch?ContribAuthorStored=Vodacek%2C%2BAnthony"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aslopubs.onlinelibrary.wiley.com/action/doSearch?ContribAuthorStored=Steward%2C%2BRobert%2BG"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en.wikipedia.org/wiki/Compendium_of_Chemical_Terminolog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lopubs.onlinelibrary.wiley.com/action/doSearch?ContribAuthorStored=D%27Sa%2C%2BEurico%2BJ" TargetMode="External"/><Relationship Id="rId5" Type="http://schemas.openxmlformats.org/officeDocument/2006/relationships/footnotes" Target="footnotes.xml"/><Relationship Id="rId15" Type="http://schemas.openxmlformats.org/officeDocument/2006/relationships/hyperlink" Target="https://aslopubs.onlinelibrary.wiley.com/action/doSearch?ContribAuthorStored=Phinney%2C%2BDave"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aslopubs.onlinelibrary.wiley.com/action/doSearch?ContribAuthorStored=Blough%2C%2BNeil%2BV"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jofsr.org/" TargetMode="External"/><Relationship Id="rId1" Type="http://schemas.openxmlformats.org/officeDocument/2006/relationships/hyperlink" Target="http://www.jofsr.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3399</Words>
  <Characters>19379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dc:creator>
  <cp:lastModifiedBy>Vikas Rao</cp:lastModifiedBy>
  <cp:revision>2</cp:revision>
  <dcterms:created xsi:type="dcterms:W3CDTF">2019-11-11T09:48:00Z</dcterms:created>
  <dcterms:modified xsi:type="dcterms:W3CDTF">2019-11-11T09:48:00Z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2019-08-02T00:00:00Z</vt:filetime>
  </property>
  <property fmtid="{D5CDD505-2E9C-101B-9397-08002B2CF9AE}" pid="3" name="Creator">
    <vt:lpwstr>Microsoft® Word for Office 365</vt:lpwstr>
  </property>
  <property fmtid="{D5CDD505-2E9C-101B-9397-08002B2CF9AE}" pid="4" name="LastSaved">
    <vt:filetime>2019-11-11T00:00:00Z</vt:filetime>
  </property>
</Properties>
</file>